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textAlignment w:val="baseline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 w:cs="黑体"/>
          <w:color w:val="000000"/>
          <w:kern w:val="0"/>
          <w:sz w:val="28"/>
          <w:szCs w:val="28"/>
        </w:rPr>
        <w:t>承</w:t>
      </w:r>
      <w:r>
        <w:rPr>
          <w:rFonts w:hint="eastAsia" w:ascii="黑体" w:eastAsia="黑体" w:cs="黑体"/>
          <w:color w:val="000000"/>
          <w:spacing w:val="14"/>
          <w:kern w:val="0"/>
          <w:sz w:val="28"/>
          <w:szCs w:val="28"/>
        </w:rPr>
        <w:t>德市双滦区十一届</w:t>
      </w:r>
    </w:p>
    <w:p>
      <w:pPr>
        <w:autoSpaceDN w:val="0"/>
        <w:spacing w:line="560" w:lineRule="exact"/>
        <w:textAlignment w:val="baseline"/>
        <w:rPr>
          <w:rFonts w:ascii="黑体" w:eastAsia="黑体" w:cs="黑体"/>
          <w:color w:val="000000"/>
          <w:w w:val="99"/>
          <w:kern w:val="0"/>
          <w:sz w:val="28"/>
          <w:szCs w:val="28"/>
        </w:rPr>
      </w:pPr>
      <w:r>
        <w:rPr>
          <w:rFonts w:hint="eastAsia" w:ascii="黑体" w:eastAsia="黑体" w:cs="黑体"/>
          <w:color w:val="000000"/>
          <w:sz w:val="28"/>
          <w:szCs w:val="28"/>
        </w:rPr>
        <w:t>人大三次会议文件</w:t>
      </w:r>
      <w:r>
        <w:rPr>
          <w:rFonts w:ascii="黑体" w:eastAsia="黑体" w:cs="黑体"/>
          <w:color w:val="000000"/>
          <w:w w:val="99"/>
          <w:kern w:val="0"/>
          <w:sz w:val="28"/>
          <w:szCs w:val="28"/>
        </w:rPr>
        <w:t>(</w:t>
      </w:r>
      <w:r>
        <w:rPr>
          <w:rFonts w:hint="eastAsia" w:ascii="黑体" w:eastAsia="黑体" w:cs="黑体"/>
          <w:color w:val="000000"/>
          <w:w w:val="99"/>
          <w:kern w:val="0"/>
          <w:sz w:val="28"/>
          <w:szCs w:val="28"/>
        </w:rPr>
        <w:t>26</w:t>
      </w:r>
      <w:r>
        <w:rPr>
          <w:rFonts w:ascii="黑体" w:eastAsia="黑体" w:cs="黑体"/>
          <w:color w:val="000000"/>
          <w:w w:val="99"/>
          <w:kern w:val="0"/>
          <w:sz w:val="28"/>
          <w:szCs w:val="28"/>
        </w:rPr>
        <w:t>)</w:t>
      </w:r>
    </w:p>
    <w:p>
      <w:pPr>
        <w:tabs>
          <w:tab w:val="left" w:pos="1260"/>
        </w:tabs>
        <w:autoSpaceDE w:val="0"/>
        <w:autoSpaceDN w:val="0"/>
        <w:adjustRightInd w:val="0"/>
        <w:snapToGrid w:val="0"/>
        <w:spacing w:before="120" w:after="240" w:line="560" w:lineRule="exact"/>
        <w:rPr>
          <w:rFonts w:ascii="华文中宋" w:eastAsia="华文中宋" w:cs="Times New Roman"/>
          <w:b/>
          <w:bCs/>
          <w:kern w:val="0"/>
          <w:sz w:val="44"/>
          <w:szCs w:val="44"/>
          <w:lang w:val="zh-CN"/>
        </w:rPr>
      </w:pPr>
    </w:p>
    <w:p>
      <w:pPr>
        <w:tabs>
          <w:tab w:val="left" w:pos="1260"/>
        </w:tabs>
        <w:autoSpaceDN w:val="0"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关于承德市双滦区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2年国民经济和社会</w:t>
      </w:r>
    </w:p>
    <w:p>
      <w:pPr>
        <w:tabs>
          <w:tab w:val="left" w:pos="1260"/>
        </w:tabs>
        <w:autoSpaceDN w:val="0"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发展计划执行情况与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3年国民经济和社会</w:t>
      </w:r>
    </w:p>
    <w:p>
      <w:pPr>
        <w:tabs>
          <w:tab w:val="left" w:pos="1260"/>
        </w:tabs>
        <w:autoSpaceDN w:val="0"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发展计划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(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草案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)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的报告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(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书面）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center"/>
        <w:rPr>
          <w:rFonts w:ascii="楷体_GB2312" w:eastAsia="楷体_GB2312" w:cs="Times New Roman"/>
          <w:kern w:val="0"/>
          <w:sz w:val="32"/>
          <w:szCs w:val="32"/>
          <w:lang w:val="zh-CN"/>
        </w:rPr>
      </w:pPr>
      <w:r>
        <w:rPr>
          <w:rFonts w:hint="eastAsia" w:ascii="楷体_GB2312" w:eastAsia="楷体_GB2312" w:cs="宋体"/>
          <w:kern w:val="0"/>
          <w:sz w:val="32"/>
          <w:szCs w:val="32"/>
          <w:lang w:val="zh-CN"/>
        </w:rPr>
        <w:t>——</w:t>
      </w:r>
      <w:r>
        <w:rPr>
          <w:rFonts w:ascii="楷体_GB2312" w:eastAsia="楷体_GB2312" w:cs="楷体_GB2312"/>
          <w:kern w:val="0"/>
          <w:sz w:val="32"/>
          <w:szCs w:val="32"/>
          <w:lang w:val="zh-CN"/>
        </w:rPr>
        <w:t>202</w:t>
      </w:r>
      <w:r>
        <w:rPr>
          <w:rFonts w:hint="eastAsia" w:ascii="楷体_GB2312" w:eastAsia="楷体_GB2312" w:cs="楷体_GB2312"/>
          <w:kern w:val="0"/>
          <w:sz w:val="32"/>
          <w:szCs w:val="32"/>
        </w:rPr>
        <w:t>3</w:t>
      </w:r>
      <w:r>
        <w:rPr>
          <w:rFonts w:hint="eastAsia" w:ascii="楷体_GB2312" w:eastAsia="楷体_GB2312" w:cs="楷体_GB2312"/>
          <w:kern w:val="0"/>
          <w:sz w:val="32"/>
          <w:szCs w:val="32"/>
          <w:lang w:val="zh-CN"/>
        </w:rPr>
        <w:t>年</w:t>
      </w:r>
      <w:r>
        <w:rPr>
          <w:rFonts w:ascii="楷体_GB2312" w:eastAsia="楷体_GB2312" w:cs="楷体_GB2312"/>
          <w:kern w:val="0"/>
          <w:sz w:val="32"/>
          <w:szCs w:val="32"/>
        </w:rPr>
        <w:t>1</w:t>
      </w:r>
      <w:r>
        <w:rPr>
          <w:rFonts w:hint="eastAsia" w:ascii="楷体_GB2312" w:eastAsia="楷体_GB2312" w:cs="楷体_GB2312"/>
          <w:kern w:val="0"/>
          <w:sz w:val="32"/>
          <w:szCs w:val="32"/>
          <w:lang w:val="zh-CN"/>
        </w:rPr>
        <w:t>月</w:t>
      </w:r>
      <w:r>
        <w:rPr>
          <w:rFonts w:ascii="楷体_GB2312" w:eastAsia="楷体_GB2312" w:cs="楷体_GB2312"/>
          <w:kern w:val="0"/>
          <w:sz w:val="32"/>
          <w:szCs w:val="32"/>
        </w:rPr>
        <w:t>30</w:t>
      </w:r>
      <w:r>
        <w:rPr>
          <w:rFonts w:hint="eastAsia" w:ascii="楷体_GB2312" w:eastAsia="楷体_GB2312" w:cs="楷体_GB2312"/>
          <w:kern w:val="0"/>
          <w:sz w:val="32"/>
          <w:szCs w:val="32"/>
          <w:lang w:val="zh-CN"/>
        </w:rPr>
        <w:t>日在承德市双滦区第十一届人民代表大会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center"/>
        <w:rPr>
          <w:rFonts w:ascii="楷体_GB2312" w:eastAsia="楷体_GB2312" w:cs="Times New Roman"/>
          <w:kern w:val="0"/>
          <w:sz w:val="32"/>
          <w:szCs w:val="32"/>
          <w:lang w:val="zh-CN"/>
        </w:rPr>
      </w:pPr>
      <w:r>
        <w:rPr>
          <w:rFonts w:hint="eastAsia" w:ascii="楷体_GB2312" w:eastAsia="楷体_GB2312" w:cs="楷体_GB2312"/>
          <w:kern w:val="0"/>
          <w:sz w:val="32"/>
          <w:szCs w:val="32"/>
          <w:lang w:val="zh-CN"/>
        </w:rPr>
        <w:t>第</w:t>
      </w:r>
      <w:r>
        <w:rPr>
          <w:rFonts w:hint="eastAsia" w:ascii="楷体_GB2312" w:eastAsia="楷体_GB2312" w:cs="楷体_GB2312"/>
          <w:kern w:val="0"/>
          <w:sz w:val="32"/>
          <w:szCs w:val="32"/>
        </w:rPr>
        <w:t>三</w:t>
      </w:r>
      <w:r>
        <w:rPr>
          <w:rFonts w:hint="eastAsia" w:ascii="楷体_GB2312" w:eastAsia="楷体_GB2312" w:cs="楷体_GB2312"/>
          <w:kern w:val="0"/>
          <w:sz w:val="32"/>
          <w:szCs w:val="32"/>
          <w:lang w:val="zh-CN"/>
        </w:rPr>
        <w:t>次会议上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center"/>
        <w:rPr>
          <w:rFonts w:ascii="楷体_GB2312" w:eastAsia="楷体_GB2312" w:cs="Times New Roman"/>
          <w:kern w:val="0"/>
          <w:sz w:val="32"/>
          <w:szCs w:val="32"/>
          <w:lang w:val="zh-CN"/>
        </w:rPr>
      </w:pPr>
      <w:r>
        <w:rPr>
          <w:rFonts w:hint="eastAsia" w:ascii="楷体_GB2312" w:eastAsia="楷体_GB2312" w:cs="楷体_GB2312"/>
          <w:kern w:val="0"/>
          <w:sz w:val="32"/>
          <w:szCs w:val="32"/>
          <w:lang w:val="zh-CN"/>
        </w:rPr>
        <w:t>承德市双滦区发展和改革局局长　</w:t>
      </w:r>
      <w:r>
        <w:rPr>
          <w:rFonts w:hint="eastAsia" w:ascii="楷体_GB2312" w:eastAsia="楷体_GB2312" w:cs="楷体_GB2312"/>
          <w:b/>
          <w:bCs/>
          <w:kern w:val="0"/>
          <w:sz w:val="32"/>
          <w:szCs w:val="32"/>
          <w:lang w:val="zh-CN"/>
        </w:rPr>
        <w:t>兀国兴</w:t>
      </w:r>
    </w:p>
    <w:p>
      <w:pPr>
        <w:autoSpaceDN w:val="0"/>
        <w:spacing w:line="580" w:lineRule="exact"/>
        <w:rPr>
          <w:rFonts w:ascii="仿宋_GB2312" w:hAnsi="仿宋_GB2312" w:eastAsia="仿宋_GB2312" w:cs="Times New Roman"/>
          <w:color w:val="121212"/>
          <w:kern w:val="0"/>
          <w:sz w:val="32"/>
          <w:szCs w:val="32"/>
        </w:rPr>
      </w:pPr>
    </w:p>
    <w:p>
      <w:pPr>
        <w:autoSpaceDN w:val="0"/>
        <w:spacing w:line="580" w:lineRule="exact"/>
        <w:rPr>
          <w:rFonts w:ascii="仿宋_GB2312" w:hAnsi="仿宋_GB2312" w:eastAsia="仿宋_GB2312" w:cs="Times New Roman"/>
          <w:color w:val="1212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32"/>
          <w:szCs w:val="32"/>
        </w:rPr>
        <w:t>各位代表：</w:t>
      </w:r>
    </w:p>
    <w:p>
      <w:pPr>
        <w:autoSpaceDN w:val="0"/>
        <w:spacing w:line="580" w:lineRule="exact"/>
        <w:ind w:firstLine="640" w:firstLineChars="200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21212"/>
          <w:kern w:val="0"/>
          <w:sz w:val="32"/>
          <w:szCs w:val="32"/>
        </w:rPr>
        <w:t>受区政府委托，我向大会作双滦区</w:t>
      </w:r>
      <w:r>
        <w:rPr>
          <w:rFonts w:ascii="仿宋_GB2312" w:hAnsi="仿宋_GB2312" w:eastAsia="仿宋_GB2312" w:cs="仿宋_GB2312"/>
          <w:color w:val="1212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121212"/>
          <w:kern w:val="0"/>
          <w:sz w:val="32"/>
          <w:szCs w:val="32"/>
        </w:rPr>
        <w:t>2年国民经济和社会发展计划执行情况与</w:t>
      </w:r>
      <w:r>
        <w:rPr>
          <w:rFonts w:ascii="仿宋_GB2312" w:hAnsi="仿宋_GB2312" w:eastAsia="仿宋_GB2312" w:cs="仿宋_GB2312"/>
          <w:color w:val="1212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121212"/>
          <w:kern w:val="0"/>
          <w:sz w:val="32"/>
          <w:szCs w:val="32"/>
        </w:rPr>
        <w:t>3年国民经济和社会发展计划（草案）的报告，请予审议，并请区政协委员和列席会议的同志提出意见。</w:t>
      </w:r>
    </w:p>
    <w:p>
      <w:pPr>
        <w:autoSpaceDN w:val="0"/>
        <w:spacing w:line="580" w:lineRule="exact"/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一、</w:t>
      </w:r>
      <w:r>
        <w:rPr>
          <w:rFonts w:ascii="黑体" w:eastAsia="黑体" w:cs="黑体"/>
          <w:kern w:val="0"/>
          <w:sz w:val="32"/>
          <w:szCs w:val="32"/>
        </w:rPr>
        <w:t>202</w:t>
      </w:r>
      <w:r>
        <w:rPr>
          <w:rFonts w:hint="eastAsia" w:ascii="黑体" w:eastAsia="黑体" w:cs="黑体"/>
          <w:kern w:val="0"/>
          <w:sz w:val="32"/>
          <w:szCs w:val="32"/>
        </w:rPr>
        <w:t>2年国民经济和社会发展计划执行情况</w:t>
      </w:r>
    </w:p>
    <w:p>
      <w:pPr>
        <w:pStyle w:val="6"/>
        <w:autoSpaceDN w:val="0"/>
        <w:spacing w:before="0" w:beforeAutospacing="0" w:after="0" w:line="580" w:lineRule="exact"/>
        <w:ind w:firstLine="640" w:firstLineChars="200"/>
        <w:textAlignment w:val="baseline"/>
        <w:rPr>
          <w:rFonts w:ascii="仿宋_GB2312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2022年是党的二十大召开之年，是实施“十四五”规划的关键之年，今年以来</w:t>
      </w:r>
      <w:r>
        <w:rPr>
          <w:rFonts w:asci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全区上下在区委的坚强领导下，在区人大及其常委会的监督支持下，按照“疫情要防住、经济要稳住、发展要安全”的总要求</w:t>
      </w:r>
      <w:r>
        <w:rPr>
          <w:rFonts w:ascii="仿宋_GB2312" w:eastAsia="仿宋_GB2312" w:cs="仿宋_GB2312"/>
          <w:kern w:val="0"/>
          <w:sz w:val="32"/>
          <w:szCs w:val="32"/>
        </w:rPr>
        <w:t>,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统筹抓好疫情防控和经济社会发展，为国民经济和社会发展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计划顺利执行奠定了扎实基础。</w:t>
      </w:r>
    </w:p>
    <w:p>
      <w:pPr>
        <w:autoSpaceDN w:val="0"/>
        <w:spacing w:line="580" w:lineRule="exact"/>
        <w:ind w:firstLine="645"/>
        <w:textAlignment w:val="baseline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2022年，地区生产总值完成1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>61.2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亿元，同比增长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>4.8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%；规模以上工业增加值同比增长10.8%；一般公共预算收入完成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13.03亿元，同比增长5.4%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；固定资产投资</w:t>
      </w:r>
      <w:r>
        <w:rPr>
          <w:rFonts w:hint="eastAsia" w:ascii="仿宋_GB2312" w:eastAsia="仿宋_GB2312" w:cs="宋体"/>
          <w:bCs/>
          <w:color w:val="000000"/>
          <w:spacing w:val="-20"/>
          <w:kern w:val="0"/>
          <w:sz w:val="32"/>
          <w:szCs w:val="32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4.6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，同比增长12.3%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；社会消费品零售总额完成4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>5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亿元，同比增长</w:t>
      </w:r>
      <w:r>
        <w:rPr>
          <w:rFonts w:ascii="仿宋_GB2312" w:eastAsia="仿宋_GB2312" w:cs="宋体"/>
          <w:bCs/>
          <w:color w:val="000000"/>
          <w:kern w:val="0"/>
          <w:sz w:val="32"/>
          <w:szCs w:val="32"/>
        </w:rPr>
        <w:t>0.8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%；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进出口总值预计完成</w:t>
      </w:r>
      <w:r>
        <w:rPr>
          <w:rFonts w:hint="eastAsia" w:ascii="仿宋_GB2312" w:hAnsi="华文中宋" w:eastAsia="仿宋_GB2312" w:cs="宋体"/>
          <w:color w:val="000000"/>
          <w:sz w:val="32"/>
          <w:szCs w:val="32"/>
        </w:rPr>
        <w:t>7.905亿元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,同比增长28.74%；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  <w:lang w:val="zh-CN"/>
        </w:rPr>
        <w:t>实际利用外资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354.42万美元，同比增长532%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；城镇居民人均可支配收入完成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4332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3.9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农村居民人均可支配收入</w:t>
      </w:r>
      <w:r>
        <w:rPr>
          <w:rFonts w:hint="eastAsia" w:ascii="仿宋_GB2312" w:eastAsia="仿宋_GB2312" w:cs="宋体"/>
          <w:bCs/>
          <w:color w:val="000000"/>
          <w:spacing w:val="-20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8814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val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（一）内需潜力不断释放，经济动能持续增强。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纾困政策精准落实。</w:t>
      </w:r>
      <w:r>
        <w:rPr>
          <w:rFonts w:ascii="仿宋_GB2312" w:hAnsi="仿宋_GB2312" w:eastAsia="仿宋_GB2312" w:cs="仿宋_GB2312"/>
          <w:sz w:val="32"/>
          <w:szCs w:val="32"/>
        </w:rPr>
        <w:t>全面落实国家、省</w:t>
      </w:r>
      <w:r>
        <w:rPr>
          <w:rFonts w:hint="eastAsia" w:ascii="仿宋_GB2312" w:hAnsi="仿宋_GB2312" w:eastAsia="仿宋_GB2312" w:cs="仿宋_GB2312"/>
          <w:sz w:val="32"/>
          <w:szCs w:val="32"/>
        </w:rPr>
        <w:t>、市稳</w:t>
      </w:r>
      <w:r>
        <w:rPr>
          <w:rFonts w:ascii="仿宋_GB2312" w:hAnsi="仿宋_GB2312" w:eastAsia="仿宋_GB2312" w:cs="仿宋_GB2312"/>
          <w:sz w:val="32"/>
          <w:szCs w:val="32"/>
        </w:rPr>
        <w:t>经济一揽子政策措施，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制定出台“1+21”稳定经济运行的若干政策措施，“一企一策”精准直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达企业，全年累计减税降费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亿元，企业融资5.7亿元。</w:t>
      </w:r>
      <w:r>
        <w:rPr>
          <w:rFonts w:ascii="仿宋_GB2312" w:hAnsi="仿宋_GB2312" w:eastAsia="仿宋_GB2312" w:cs="仿宋_GB2312"/>
          <w:sz w:val="32"/>
          <w:szCs w:val="32"/>
        </w:rPr>
        <w:t>滚动实施高新技术企业倍增计划，享受研发费用加计扣除企业2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家，加计扣除金额6</w:t>
      </w:r>
      <w:r>
        <w:rPr>
          <w:rFonts w:hint="eastAsia" w:ascii="仿宋_GB2312" w:hAnsi="仿宋_GB2312" w:eastAsia="仿宋_GB2312" w:cs="仿宋_GB2312"/>
          <w:sz w:val="32"/>
          <w:szCs w:val="32"/>
        </w:rPr>
        <w:t>88</w:t>
      </w:r>
      <w:r>
        <w:rPr>
          <w:rFonts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创业担保贷款贴息力度，发放个人及小微企业创业担保贷款150万元。落实稳岗就业政策，为我区725户企业发放稳岗补贴资金330.8万；鼓励企业吸纳高校毕业生就业，为招用高校毕业生的中小微企业社保补贴27.24万元，同时大力开发见习岗位，为81名高校毕业生发放大学生见习岗位补贴92.54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重点项目有序推进。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实施“项目攻坚突破行动”，完善领导包联、分级调度机制，谋划实施新续建重点项目134个，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11个省市重点项目开复工率100%，完成投资19亿元，超额完成年度任务，13个工业技改项目完成投资15.3亿元，投资增速199%，增速全省领先。谋划储备基础设施项目130个，纳入省基础设施平台85个，总投资338亿元。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居民消费不断提升。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开展“全承钜惠”“惠民车展”等促消活动，累计撬动消费3亿元。全力推动线上消费，全区电子商务网络零售额完成4.1亿元。全面激活文化旅游、餐饮住宿等消费市场，接待游客突破百万人次，文化旅游综合收入15亿元。鼎盛元宝街被评为省级商业示范步行街，成为承德旅游消费新地标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（二）实体经济转型加快，发展质效稳步提升。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文旅业态日趋丰富。</w:t>
      </w:r>
      <w:r>
        <w:rPr>
          <w:rFonts w:hint="eastAsia" w:ascii="仿宋_GB2312" w:hAnsi="仿宋_GB2312" w:eastAsia="仿宋_GB2312" w:cs="仿宋_GB2312"/>
          <w:sz w:val="32"/>
          <w:szCs w:val="32"/>
        </w:rPr>
        <w:t>满蒙文化交流中心、滦阳建筑环境艺术中心、承德好人养老等项目加快建设，鼎盛文化创意产业园、北辰文化产业园等项目完成主体，女企业家活动中心、承德绿色建筑设计研究中心等项目投入运营。鼎盛文化产业园、莲花山景区分别获评4A、3A级景区，万家祥和医养结合养老服务体系列入省级服务业标准化试点，鼎盛——莲花路文旅产业示范带进一步发展壮大，品牌影响力持续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钒钛产业转型升级步伐加快。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承德钒钛新材料有限公司正式成立，钒钛新材料产业园启动实施，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标志着我区钒钛产业开始向更高端化迈进。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锦滦年产2000吨钒氮合金、滦宝高端机械设备制造一期等项目建成投产。邦信180万吨钒钛渣粉生产线完成设备安装，北京燕通绿色装配式建筑构件项目实现试生产，产业链条拓展延伸。钛板轧制生产线投入使用，高纯钒材料入选国家级制造业单项冠军产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生产性服务业多元化发展。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金望广场、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农优生态农业供应链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等项目顺利实施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，华富玻璃器皿、皓盛集团总部等项目完成主体，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承德萨蓝新能源科技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智慧物流分拣线设备研发制造一期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等项目建成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运营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。承德市电商产业园吸附阿里巴巴、抖音等优质电商企业30余家，融“产品展示、直播带货、人员培训、企业孵化”等多种功能为一体的大型综合性电商产业园初具雏形。商贸物流园区集聚带动作用显著增强，再次获评“全国优秀物流园区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清洁能源产业创新发展。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装机总规模340万千瓦，总投资188亿元的3个抽水蓄能项目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争列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国家中长期规划。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由河北建投、承德钒钛、北京普能、山东奥冠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等企业参与实施的，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22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的100兆瓦共享储能、磷酸钒钠储能电池等项目顺利推进，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的300兆瓦钒电池储能、150兆瓦源网荷储一体化示范等项目签约落地，总投资11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200兆瓦光储一体化项目开工建设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。清洁能源项目的谋划实施，将为我区经济发展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注入新的强劲动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能。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（三）改革开放蹄疾步稳，内生动力持续增强。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重点改革持续深化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深化“放管服”改革，全区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96%的行政审批事项实现办事“一次成”。推行容缺受理、预约服务、企业绿色通道等系列措施，政务环境更加高效便捷。推进工业企业“亩均论英雄改革”，腾退闲置工业土地320余亩。供给侧结构性改革和财税金融、投融资等系列改革持续深入，推动资源要素向优质高效领域集中。巩固提升农村集体产权制度改革成果，45个村集体经济收入超过10万元；达连坑村、二兴营村、南塔子沟村、西地村、肖店村、前营村6个村入选首批全省发展壮大农村集体经济典型案例。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开放合作成效显著。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招商引资和投资促进中心，修订《招商引资优惠办法》，细化8类26项奖励政策，招商体系机制更加完善、政策引力显著增强。克服疫情影响，线上线下双向发力，成功举办廊洽会双滦经济开发区专场等系列招商活动，北京普能、中铁投资、河北建投、北京启迪控股等一大批企业落户双滦。年内引进落地项目84个，总投资132.8亿元，引进市外到位资金18.7亿元、无偿资金6.9亿元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科技创新不断增强。</w:t>
      </w:r>
      <w:r>
        <w:rPr>
          <w:rFonts w:ascii="仿宋_GB2312" w:hAnsi="仿宋_GB2312" w:eastAsia="仿宋_GB2312" w:cs="仿宋_GB2312"/>
          <w:sz w:val="32"/>
          <w:szCs w:val="32"/>
        </w:rPr>
        <w:t>大力实施创新驱动发展战略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，与京津冀科研机构、高等院校共建创新平台，河北工业大学双碳产业（承德）研究院落地双滦。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培育“专精特新”企业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3家，</w:t>
      </w:r>
      <w:r>
        <w:rPr>
          <w:rFonts w:ascii="仿宋_GB2312" w:hAnsi="仿宋_GB2312" w:eastAsia="仿宋_GB2312" w:cs="仿宋_GB2312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增</w:t>
      </w:r>
      <w:r>
        <w:rPr>
          <w:rFonts w:ascii="仿宋_GB2312" w:hAnsi="仿宋_GB2312" w:eastAsia="仿宋_GB2312" w:cs="仿宋_GB2312"/>
          <w:sz w:val="32"/>
          <w:szCs w:val="32"/>
        </w:rPr>
        <w:t>高新技术企业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家、科技型中小企业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，我区高新技术企业和科技型中小企业存量分别达14家和143家。完成可持续发展科技计划专项项目6个，共获可持续发展项目专项资金245万元。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城乡建设稳步推进，人居环境质量提升。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城镇化建设深入推进。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高标准实施绿化、亮化项目15个，新建“口袋公园”8处，打造“四化”样板示范街3条。着力改善群众居住条件，完成丝绸厂老旧小区改造、熙璟天著回迁楼建设工程。加快补齐管网设施短板，新改建综合管网19.5公里。科学实施道路畅通工程，疏解城市交通拥堵路段5处，新增停车位700余个。承德市客运枢纽站一期建成运营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全力创建全国文明城市、卫生城市，积极开展老旧小区、背街小巷、停车秩序等13项专项整治提升行动，巡查处理各类问题1351件，修缮市政设施3523处，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完成重点区域飞线整治193处。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乡村振兴落地见效。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现代农业快速发展，培育新型农业经营主体19家，“白色恋人”草莓、“富润绿禾”鸡蛋等优质农产品进驻北京、上海等高端市场，成功打造“山谷”系列品牌，山谷田园运营良好，新水生态农业获批省级农业科技园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新改建农村道路26公里，入选“四好农村路”全国示范县区创建单位。人居环境持续改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善，建成“小三园”30个，硬化道路7.1万平方米，创建美丽庭院462户，高标准打造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省级美丽乡村1个。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大贵口村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获评中国美丽休闲乡村，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成为全省乡村振兴示范样板。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生态环境持续改善。</w:t>
      </w:r>
      <w:r>
        <w:rPr>
          <w:rFonts w:hint="eastAsia" w:ascii="仿宋_GB2312" w:hAnsi="仿宋" w:eastAsia="仿宋_GB2312"/>
          <w:sz w:val="32"/>
          <w:szCs w:val="32"/>
        </w:rPr>
        <w:t>扎实开展“减煤、治企、控车、抑尘、多污染治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理”五大攻坚行动。</w:t>
      </w:r>
      <w:r>
        <w:rPr>
          <w:rFonts w:hint="eastAsia" w:ascii="仿宋_GB2312" w:eastAsia="仿宋_GB2312"/>
          <w:color w:val="000000"/>
          <w:sz w:val="32"/>
          <w:szCs w:val="32"/>
        </w:rPr>
        <w:t>完成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工业企业</w:t>
      </w:r>
      <w:r>
        <w:rPr>
          <w:rFonts w:hint="eastAsia" w:ascii="仿宋_GB2312" w:eastAsia="仿宋_GB2312"/>
          <w:color w:val="000000"/>
          <w:sz w:val="32"/>
          <w:szCs w:val="32"/>
        </w:rPr>
        <w:t>锅炉</w:t>
      </w:r>
      <w:r>
        <w:rPr>
          <w:rFonts w:hint="eastAsia" w:ascii="仿宋_GB2312" w:eastAsia="仿宋_GB2312"/>
          <w:sz w:val="32"/>
          <w:szCs w:val="32"/>
        </w:rPr>
        <w:t>治理</w:t>
      </w:r>
      <w:r>
        <w:rPr>
          <w:rFonts w:hint="eastAsia" w:ascii="仿宋_GB2312" w:eastAsia="仿宋_GB2312"/>
          <w:color w:val="000000"/>
          <w:sz w:val="32"/>
          <w:szCs w:val="32"/>
        </w:rPr>
        <w:t>6台、超低排放改造工程13个</w:t>
      </w:r>
      <w:r>
        <w:rPr>
          <w:rFonts w:hint="eastAsia" w:ascii="仿宋_GB2312" w:hAnsi="黑体" w:eastAsia="仿宋_GB2312"/>
          <w:color w:val="000000"/>
          <w:kern w:val="0"/>
          <w:sz w:val="32"/>
          <w:szCs w:val="32"/>
        </w:rPr>
        <w:t>，减排氮氧化物</w:t>
      </w:r>
      <w:r>
        <w:rPr>
          <w:rFonts w:hint="eastAsia" w:ascii="仿宋_GB2312" w:eastAsia="仿宋_GB2312"/>
          <w:sz w:val="32"/>
          <w:szCs w:val="32"/>
        </w:rPr>
        <w:t>4058</w:t>
      </w:r>
      <w:r>
        <w:rPr>
          <w:rFonts w:hint="eastAsia" w:ascii="仿宋_GB2312" w:hAnsi="黑体" w:eastAsia="仿宋_GB2312"/>
          <w:color w:val="000000"/>
          <w:kern w:val="0"/>
          <w:sz w:val="32"/>
          <w:szCs w:val="32"/>
        </w:rPr>
        <w:t>吨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PM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>平均浓度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3微克/立方米，同比下降8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auto" w:fill="FFFFFF"/>
        </w:rPr>
        <w:t>创有监测记录以来最好水平。</w:t>
      </w:r>
      <w:r>
        <w:rPr>
          <w:rFonts w:hint="eastAsia" w:ascii="仿宋_GB2312" w:hAnsi="仿宋" w:eastAsia="仿宋_GB2312"/>
          <w:sz w:val="32"/>
          <w:szCs w:val="32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升水生态环境，完成大贵口生态清洁小流域综合治理、长北沟旱河尾水湿地净化及水生态修复等工程，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治理小流域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平方公里，清理淤泥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32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万立方米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滦河伊逊河水生态系统修复等项目纳入省级水污染防治储备库。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地表水国市考断面水质实现“双达标”，饮用水水质达标率保持100%。持续开展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国土绿化行动，推进荒山披绿、矿山复绿、村镇植绿，完成营造林9000亩、矿区绿化180亩。严格落实“净地”供应制度，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坚决杜绝“毒地”开发利用，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完成31块疑似污染地块土壤状况调查，建设用地、农用地安全利用率保持100%。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（五）民生保障有力有效，发展韧性不断显现。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公共服务更加完善。</w:t>
      </w:r>
      <w:r>
        <w:rPr>
          <w:rFonts w:hint="eastAsia" w:ascii="仿宋_GB2312" w:hAnsi="仿宋" w:eastAsia="仿宋_GB2312" w:cs="仿宋"/>
          <w:sz w:val="32"/>
          <w:szCs w:val="32"/>
        </w:rPr>
        <w:t>积极实施就业政策，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城镇新增就</w:t>
      </w:r>
      <w:r>
        <w:rPr>
          <w:rFonts w:hint="eastAsia" w:ascii="仿宋_GB2312" w:hAnsi="仿宋_GB2312" w:eastAsia="仿宋_GB2312" w:cs="仿宋_GB2312"/>
          <w:sz w:val="32"/>
          <w:szCs w:val="32"/>
        </w:rPr>
        <w:t>业3429人，城镇登记失业率3.8%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文化体育惠民工程成效明显，</w:t>
      </w:r>
      <w:r>
        <w:rPr>
          <w:rFonts w:hint="eastAsia" w:ascii="仿宋_GB2312" w:eastAsia="仿宋_GB2312"/>
          <w:sz w:val="32"/>
          <w:szCs w:val="32"/>
        </w:rPr>
        <w:t>“15分钟健身圈”城乡全覆盖。</w:t>
      </w:r>
      <w:r>
        <w:rPr>
          <w:rFonts w:hint="eastAsia" w:ascii="仿宋_GB2312" w:hAnsi="仿宋" w:eastAsia="仿宋_GB2312" w:cs="仿宋_GB2312"/>
          <w:sz w:val="32"/>
          <w:szCs w:val="32"/>
        </w:rPr>
        <w:t>组织开展“送文化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下基层”“非遗进校园”等文化活动72场次，惠及群众5.3万人，获评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河北省第二批公共文化服务体系示范区。</w:t>
      </w:r>
      <w:r>
        <w:rPr>
          <w:rFonts w:hint="eastAsia" w:ascii="仿宋_GB2312" w:hAnsi="楷体" w:eastAsia="仿宋_GB2312"/>
          <w:sz w:val="32"/>
          <w:szCs w:val="32"/>
        </w:rPr>
        <w:t>基层卫生健康服务能力标准化</w:t>
      </w:r>
      <w:r>
        <w:rPr>
          <w:rFonts w:hint="eastAsia" w:ascii="仿宋_GB2312" w:hAnsi="仿宋" w:eastAsia="仿宋_GB2312" w:cs="仿宋_GB2312"/>
          <w:sz w:val="32"/>
          <w:szCs w:val="32"/>
        </w:rPr>
        <w:t>建设覆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盖率达到100%。</w:t>
      </w:r>
      <w:r>
        <w:rPr>
          <w:rFonts w:hint="eastAsia" w:ascii="仿宋_GB2312" w:eastAsia="仿宋_GB2312"/>
          <w:sz w:val="32"/>
          <w:szCs w:val="32"/>
        </w:rPr>
        <w:t>科学精准落实疫情防控各项政策，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人群免疫屏障初步建立，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全区适龄人群累计首针接种17.44万人，接种覆盖率96.41%；加强免疫累计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接种12.83万人，接种完成率95.96%。养老服务成效日益凸显，28所社区日间照料服务站改造提升全部完成，实现了服务设施社区和服务功能小区“两个”全覆盖。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社会保障日趋健全。</w:t>
      </w: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t>持续加大社会保障力度，城乡居民养老、医疗保险参保率分别达到95%和80%。强化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低收入群体住房保障</w:t>
      </w: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t>，分配保障性住房</w:t>
      </w:r>
      <w:r>
        <w:rPr>
          <w:rFonts w:hint="eastAsia" w:ascii="仿宋_GB2312" w:hAnsi="仿宋" w:eastAsia="仿宋_GB2312"/>
          <w:bCs/>
          <w:sz w:val="32"/>
          <w:szCs w:val="32"/>
        </w:rPr>
        <w:t>22</w:t>
      </w: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t>套，发放困难家庭租赁住房补贴</w:t>
      </w:r>
      <w:r>
        <w:rPr>
          <w:rFonts w:hint="eastAsia" w:ascii="仿宋_GB2312" w:hAnsi="仿宋" w:eastAsia="仿宋_GB2312"/>
          <w:bCs/>
          <w:sz w:val="32"/>
          <w:szCs w:val="32"/>
        </w:rPr>
        <w:t>182</w:t>
      </w: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t>户。加强社会救助和特殊群体关爱服务，为残疾人、孤儿、高龄失能人员发放各类补贴</w:t>
      </w:r>
      <w:r>
        <w:rPr>
          <w:rFonts w:hint="eastAsia" w:ascii="仿宋_GB2312" w:hAnsi="仿宋" w:eastAsia="仿宋_GB2312"/>
          <w:bCs/>
          <w:sz w:val="32"/>
          <w:szCs w:val="32"/>
        </w:rPr>
        <w:t>260万</w:t>
      </w:r>
      <w:r>
        <w:rPr>
          <w:rFonts w:hint="eastAsia" w:ascii="仿宋_GB2312" w:hAnsi="仿宋" w:eastAsia="仿宋_GB2312"/>
          <w:bCs/>
          <w:sz w:val="32"/>
          <w:szCs w:val="32"/>
          <w:lang w:val="zh-CN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完善低保家庭认定办法，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城乡低保户</w:t>
      </w:r>
      <w:r>
        <w:rPr>
          <w:rFonts w:hint="eastAsia" w:ascii="仿宋_GB2312" w:hAnsi="仿宋_GB2312" w:eastAsia="仿宋_GB2312" w:cs="仿宋_GB2312"/>
          <w:sz w:val="32"/>
          <w:szCs w:val="32"/>
        </w:rPr>
        <w:t>1968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人发放低保金</w:t>
      </w:r>
      <w:r>
        <w:rPr>
          <w:rFonts w:hint="eastAsia" w:ascii="仿宋_GB2312" w:eastAsia="仿宋_GB2312"/>
          <w:sz w:val="32"/>
          <w:szCs w:val="32"/>
        </w:rPr>
        <w:t>847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；提升特困救助供养人照护服务质量，为城乡分散特困供养人员219人，发放供养金145万元。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社会治理扎实有效。</w:t>
      </w:r>
      <w:r>
        <w:rPr>
          <w:rFonts w:hint="eastAsia" w:ascii="仿宋_GB2312" w:eastAsia="仿宋_GB2312"/>
          <w:sz w:val="32"/>
          <w:szCs w:val="32"/>
        </w:rPr>
        <w:t>深入推进“八五”普法，高标准打造下店子、御祥园、万和城等6个省级民主法治示范村（社区）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zh-CN"/>
        </w:rPr>
        <w:t>加强金融风险排查，稳妥有序化解存量债务，各类风险得到有效防控。</w:t>
      </w:r>
      <w:r>
        <w:rPr>
          <w:rFonts w:hint="eastAsia" w:ascii="仿宋_GB2312" w:eastAsia="仿宋_GB2312"/>
          <w:sz w:val="32"/>
          <w:szCs w:val="32"/>
        </w:rPr>
        <w:t>持续开展安全生产</w:t>
      </w:r>
      <w:r>
        <w:rPr>
          <w:rFonts w:hint="eastAsia" w:ascii="仿宋_GB2312" w:hAnsi="Arial" w:eastAsia="仿宋_GB2312" w:cs="仿宋_GB2312"/>
          <w:sz w:val="32"/>
          <w:szCs w:val="32"/>
        </w:rPr>
        <w:t>大排查大整治</w:t>
      </w:r>
      <w:r>
        <w:rPr>
          <w:rFonts w:hint="eastAsia" w:ascii="仿宋_GB2312" w:eastAsia="仿宋_GB2312"/>
          <w:sz w:val="32"/>
          <w:szCs w:val="32"/>
        </w:rPr>
        <w:t>，统筹抓好粮食安全、校园安全、食品药品安全、防火防汛等工作，社会大局保持和谐稳定。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经济平稳增长的同时，受疫情多点散发和宏观经济持续放缓影响，经济社会发展中的一些问题更加凸显。经济运行增量承压加剧，增速边际放缓；财政收支矛盾突出，财源增长后劲不足；土地资金两大瓶颈尚未破解，项目建设缺乏保障；同时，房地产市场低迷，上下游产业遇冷；消费需求收缩，企业经营困难；市场主体信心不足，投资热情减弱。</w:t>
      </w:r>
      <w:r>
        <w:rPr>
          <w:rFonts w:hint="eastAsia" w:ascii="仿宋_GB2312" w:hAnsi="Arial" w:eastAsia="仿宋_GB2312" w:cs="仿宋_GB2312"/>
          <w:sz w:val="32"/>
          <w:szCs w:val="32"/>
        </w:rPr>
        <w:t>改革开放创新力度不足，发展活力有待增强；城乡建设品质还不够高，融合发展步伐还需加快；民生保障还存在短板，教育医疗等优质资源供给与群众期待还有不少差距。针对这些问题，在新的一年，我们要立足自身优势，深挖发展潜力，坚定信心和决心，不断开创新局面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二、202</w:t>
      </w:r>
      <w:r>
        <w:rPr>
          <w:rFonts w:ascii="黑体" w:eastAsia="黑体" w:cs="黑体"/>
          <w:kern w:val="0"/>
          <w:sz w:val="32"/>
          <w:szCs w:val="32"/>
        </w:rPr>
        <w:t>3</w:t>
      </w:r>
      <w:r>
        <w:rPr>
          <w:rFonts w:hint="eastAsia" w:ascii="黑体" w:eastAsia="黑体" w:cs="黑体"/>
          <w:kern w:val="0"/>
          <w:sz w:val="32"/>
          <w:szCs w:val="32"/>
        </w:rPr>
        <w:t>年经济社会发展主要目标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是全面贯彻落实党的二十大精神的开局之年，是实施“十四五”规划承上启下的关键之年，做好经济社会发展工作至关重要、意义重大。全区将继续坚持以习近平新时代中国特色社会主义思想为指导，深入贯彻党的二十大精神，按照习近平总书记视察承德、视察双滦重要讲话指示精神，全面落实党中央、国务院、省委、省政府和市委、市政府决策部署，以推进中国式现代化“双滦实践场景”为主线，加快建设高质量发展的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强区、美丽双滦”。计划设置</w:t>
      </w:r>
      <w:r>
        <w:rPr>
          <w:rFonts w:hint="eastAsia" w:ascii="仿宋_GB2312" w:hAnsi="仿宋_GB2312" w:eastAsia="仿宋_GB2312" w:cs="仿宋_GB2312"/>
          <w:sz w:val="32"/>
          <w:szCs w:val="32"/>
        </w:rPr>
        <w:t>7方面22项指标，具体如下：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——综合实力类，生产总值增长6%左右，固定资产投资增长7%左右，社会消费品零售总额增长6%以上，一般公共预算收入增长6%左右。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——创新发展类，全社会研发投入增长10%以上。新增科技型中小企业10家、高新技术企业3家。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——协调发展类，规模以上工业增加值增长5.5%左右，规上高新技术产业增加值增长5%左右，服务业增加值增长8.5%左右，常住人口城镇化率提高到83.8%。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——绿色发展类，PM2.5平均浓度、城市平均优良天数比例和每万元生产总值能耗、二氧化碳排放量、用水量完成市分解任务。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——开放发展类，进出口总值增长5%，实际利用外资增长5%，开发区营业收入增长9%。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——共享发展类，</w:t>
      </w:r>
      <w:r>
        <w:rPr>
          <w:rFonts w:ascii="仿宋_GB2312" w:hAnsi="仿宋_GB2312" w:eastAsia="仿宋_GB2312" w:cs="仿宋_GB2312"/>
          <w:sz w:val="32"/>
          <w:szCs w:val="32"/>
          <w:lang w:val="zh-CN"/>
        </w:rPr>
        <w:t>居民人均可支配收入增长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6.5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，城镇新增就业0.32万人，城镇登记失业率4.5%以内。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——安全保障类，粮食综合生产能力保持在0.32亿斤。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三、2023年重点工作措施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围绕全年经济社会发展目标，重点做好六个方面工作：</w:t>
      </w:r>
    </w:p>
    <w:p>
      <w:pPr>
        <w:pBdr>
          <w:bottom w:val="single" w:color="FFFFFF" w:sz="4" w:space="17"/>
        </w:pBdr>
        <w:autoSpaceDN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（一）聚焦政策落实，全力稳住经济发展基本盘。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坚持“稳字当头、稳中求进”工作总基调，确保完成年初既定目标。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一是紧跟政策导向。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严格落实国家、省、市重大决策部署，及时跟进金融、投资、产业等宏观政策动态，</w:t>
      </w:r>
      <w:r>
        <w:rPr>
          <w:rFonts w:hint="eastAsia" w:ascii="仿宋_GB2312" w:eastAsia="仿宋_GB2312"/>
          <w:color w:val="000000"/>
          <w:sz w:val="32"/>
          <w:szCs w:val="32"/>
        </w:rPr>
        <w:t>用足用好政策性金融工具，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积极向上跑办，争取政策、资金支持，确保将国家、省、市重大政策转化为我区经济发展红利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二是强化运行调度。</w:t>
      </w:r>
      <w:r>
        <w:rPr>
          <w:rFonts w:hint="eastAsia" w:ascii="仿宋_GB2312" w:eastAsia="仿宋_GB2312"/>
          <w:color w:val="000000"/>
          <w:sz w:val="32"/>
          <w:szCs w:val="32"/>
        </w:rPr>
        <w:t>组织开展“十四五”规划中期评估，对照年度发展目标，及时制定“开门红”“双过半”等政策措施。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聚焦经济发展绩效专项考核，</w:t>
      </w:r>
      <w:r>
        <w:rPr>
          <w:rFonts w:hint="eastAsia" w:ascii="仿宋_GB2312" w:eastAsia="仿宋_GB2312"/>
          <w:color w:val="000000"/>
          <w:sz w:val="32"/>
          <w:szCs w:val="32"/>
        </w:rPr>
        <w:t>继续实施月通报、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季晾晒、年考核等有效机制，切实传导压力，凝聚工作合力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造全区上下抓经济工作的良好氛围。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三是服务市场主体。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开展“送政策上门”活动，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切实发挥企业发展服务中心、政府工作服务站、政府服务代表作用，制定“一企一策”工作方案，</w:t>
      </w:r>
      <w:r>
        <w:rPr>
          <w:rFonts w:hint="eastAsia" w:ascii="仿宋_GB2312" w:eastAsia="仿宋_GB2312"/>
          <w:color w:val="000000"/>
          <w:sz w:val="32"/>
          <w:szCs w:val="32"/>
        </w:rPr>
        <w:t>实施精准施策、分类指导，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针对企业需求提供精准服务，帮助企业渡过难关。</w:t>
      </w:r>
    </w:p>
    <w:p>
      <w:pPr>
        <w:pBdr>
          <w:bottom w:val="single" w:color="FFFFFF" w:sz="4" w:space="17"/>
        </w:pBdr>
        <w:autoSpaceDN w:val="0"/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（二）聚焦扩大内需，不断创造经济增长新引擎。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扩大有效投资规模，提振居民消费需求，全力挖潜新的经济增长点。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一是强化重点项目攻坚。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实施重点项目建设“2343”工程，聚焦主导产业、“两新一重”等重点领域，全年谋划储备超亿元项目20个以上。密切跟踪国家支持政策、支持领域和重点投向，积极对接厅局和部委，全力争取国家专项债券、建设资金和贴息贷款，有效发挥政策资金的投资撬动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组建工作专班，建立分级调度、考核通报、观摩拉练等工作机制，坚持工作力量、资金、要素、服务向项目集中，一切围绕项目转、一切聚焦项目干，</w:t>
      </w:r>
      <w:r>
        <w:rPr>
          <w:rFonts w:ascii="仿宋_GB2312" w:eastAsia="仿宋_GB2312" w:cs="宋体"/>
          <w:sz w:val="32"/>
          <w:szCs w:val="32"/>
          <w:lang w:val="zh-CN"/>
        </w:rPr>
        <w:t>全面提高项目开工率、投资完成率和竣工达产率，跑出项目建设</w:t>
      </w:r>
      <w:r>
        <w:rPr>
          <w:rFonts w:hint="eastAsia" w:ascii="仿宋_GB2312" w:eastAsia="仿宋_GB2312" w:cs="宋体"/>
          <w:sz w:val="32"/>
          <w:szCs w:val="32"/>
          <w:lang w:val="zh-CN"/>
        </w:rPr>
        <w:t>“</w:t>
      </w:r>
      <w:r>
        <w:rPr>
          <w:rFonts w:ascii="仿宋_GB2312" w:eastAsia="仿宋_GB2312" w:cs="宋体"/>
          <w:sz w:val="32"/>
          <w:szCs w:val="32"/>
          <w:lang w:val="zh-CN"/>
        </w:rPr>
        <w:t>加速度</w:t>
      </w:r>
      <w:r>
        <w:rPr>
          <w:rFonts w:hint="eastAsia" w:ascii="仿宋_GB2312" w:eastAsia="仿宋_GB2312" w:cs="宋体"/>
          <w:sz w:val="32"/>
          <w:szCs w:val="32"/>
          <w:lang w:val="zh-CN"/>
        </w:rPr>
        <w:t>”</w:t>
      </w:r>
      <w:r>
        <w:rPr>
          <w:rFonts w:ascii="仿宋_GB2312" w:eastAsia="仿宋_GB2312" w:cs="宋体"/>
          <w:sz w:val="32"/>
          <w:szCs w:val="32"/>
          <w:lang w:val="zh-CN"/>
        </w:rPr>
        <w:t>，攀登经济发展</w:t>
      </w:r>
      <w:r>
        <w:rPr>
          <w:rFonts w:hint="eastAsia" w:ascii="仿宋_GB2312" w:eastAsia="仿宋_GB2312" w:cs="宋体"/>
          <w:sz w:val="32"/>
          <w:szCs w:val="32"/>
          <w:lang w:val="zh-CN"/>
        </w:rPr>
        <w:t>“</w:t>
      </w:r>
      <w:r>
        <w:rPr>
          <w:rFonts w:ascii="仿宋_GB2312" w:eastAsia="仿宋_GB2312" w:cs="宋体"/>
          <w:sz w:val="32"/>
          <w:szCs w:val="32"/>
          <w:lang w:val="zh-CN"/>
        </w:rPr>
        <w:t>新高度</w:t>
      </w:r>
      <w:r>
        <w:rPr>
          <w:rFonts w:hint="eastAsia" w:ascii="仿宋_GB2312" w:eastAsia="仿宋_GB2312" w:cs="宋体"/>
          <w:sz w:val="32"/>
          <w:szCs w:val="32"/>
          <w:lang w:val="zh-CN"/>
        </w:rPr>
        <w:t>”</w:t>
      </w:r>
      <w:r>
        <w:rPr>
          <w:rFonts w:ascii="仿宋_GB2312" w:eastAsia="仿宋_GB2312" w:cs="宋体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二是提升招商引资实效。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积极构建“大招商”格局，继续推行领导干部带头招商，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实行全域、全员、全方位招商。</w:t>
      </w:r>
      <w:r>
        <w:rPr>
          <w:rFonts w:hint="eastAsia" w:ascii="仿宋_GB2312" w:eastAsia="仿宋_GB2312" w:cs="仿宋_GB2312"/>
          <w:sz w:val="32"/>
          <w:szCs w:val="32"/>
        </w:rPr>
        <w:t>聚焦传统产业优化升级、优势产业强链延链、新型产业引进培育，建立招商数据库、目标企业信息库、主导产业资源库，提高招商引资精准性和实效性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。探索建立飞地合作、税收分成等合作模式，实现错位招商，避免同质化竞争。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三是推动消费创新升级。</w:t>
      </w:r>
      <w:r>
        <w:rPr>
          <w:rFonts w:hint="eastAsia" w:ascii="仿宋_GB2312" w:eastAsia="仿宋_GB2312"/>
          <w:sz w:val="32"/>
          <w:szCs w:val="32"/>
          <w:lang w:val="zh-CN"/>
        </w:rPr>
        <w:t>支持传统商业企业加快线上线下融合发展，大力发展网络直播、平台经济，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加快电子商务发展，实现线上线下资源互补和应用协同，拓宽营销渠道。</w:t>
      </w:r>
      <w:r>
        <w:rPr>
          <w:rFonts w:hint="eastAsia" w:ascii="仿宋_GB2312" w:eastAsia="仿宋_GB2312"/>
          <w:sz w:val="32"/>
          <w:szCs w:val="32"/>
          <w:lang w:val="zh-CN"/>
        </w:rPr>
        <w:t>抢抓春节、五一、国庆消费热点，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联动区内银行、汽车销售企业、大型商业综合体、住宿餐饮企业，</w:t>
      </w:r>
      <w:r>
        <w:rPr>
          <w:rFonts w:hint="eastAsia" w:ascii="仿宋_GB2312" w:eastAsia="仿宋_GB2312"/>
          <w:sz w:val="32"/>
          <w:szCs w:val="32"/>
          <w:lang w:val="zh-CN"/>
        </w:rPr>
        <w:t>开展惠民车展、</w:t>
      </w:r>
      <w:r>
        <w:rPr>
          <w:rFonts w:hint="eastAsia" w:ascii="仿宋_GB2312" w:eastAsia="仿宋_GB2312"/>
          <w:sz w:val="32"/>
          <w:szCs w:val="32"/>
        </w:rPr>
        <w:t>节庆促销</w:t>
      </w:r>
      <w:r>
        <w:rPr>
          <w:rFonts w:hint="eastAsia" w:ascii="仿宋_GB2312" w:eastAsia="仿宋_GB2312"/>
          <w:sz w:val="32"/>
          <w:szCs w:val="32"/>
          <w:lang w:val="zh-CN"/>
        </w:rPr>
        <w:t>等系列活动，刺激大宗商品消费、繁荣</w:t>
      </w:r>
      <w:r>
        <w:rPr>
          <w:rFonts w:hint="eastAsia" w:ascii="仿宋_GB2312" w:eastAsia="仿宋_GB2312"/>
          <w:sz w:val="32"/>
          <w:szCs w:val="32"/>
        </w:rPr>
        <w:t>群众生活消费</w:t>
      </w:r>
      <w:r>
        <w:rPr>
          <w:rFonts w:hint="eastAsia" w:ascii="仿宋_GB2312" w:eastAsia="仿宋_GB2312"/>
          <w:sz w:val="32"/>
          <w:szCs w:val="32"/>
          <w:lang w:val="zh-CN"/>
        </w:rPr>
        <w:t>、活跃假日经济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zh-CN"/>
        </w:rPr>
        <w:t>强化招商运营，丰富完善“夜游、夜娱、夜购”等多种生活业态，</w:t>
      </w:r>
      <w:r>
        <w:rPr>
          <w:rFonts w:hint="eastAsia" w:ascii="仿宋_GB2312" w:eastAsia="仿宋_GB2312"/>
          <w:sz w:val="32"/>
          <w:szCs w:val="32"/>
        </w:rPr>
        <w:t>以元宝街、莲花山等为主要地标载体，打造夜间经济和商旅文联动商圈。</w:t>
      </w:r>
    </w:p>
    <w:p>
      <w:pPr>
        <w:pBdr>
          <w:bottom w:val="single" w:color="FFFFFF" w:sz="4" w:space="17"/>
        </w:pBdr>
        <w:autoSpaceDN w:val="0"/>
        <w:adjustRightInd w:val="0"/>
        <w:snapToGrid w:val="0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（三）聚焦创新突破，大力促进产业转型升级。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贯彻高质量发展要求，进一步提高主导产业的经济质量效益和竞争力。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一是推进文化旅游及医疗康养业蓬勃发展。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满蒙文化交流中心、滦阳环境艺术中心等项目建设，力促鼎盛文化创意产业园、文体活动中心等项目建成运营，扶持元宝街争创国家级旅游休闲街区，推进大贵口村争创国家级乡村旅游重点村。借助省市支持契机，加强核心资源的宣传推介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持续提升双滦文旅知名度和影响力。坚持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政府搭台、企业唱戏、市场运作，推动文旅与康养结合，探索发展温泉旅游医养养老产业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二是推进钒钛制品及特色制造业高端化发展。</w:t>
      </w:r>
      <w:r>
        <w:rPr>
          <w:rFonts w:hint="eastAsia" w:ascii="仿宋_GB2312" w:hAnsi="仿宋" w:eastAsia="仿宋_GB2312" w:cs="仿宋_GB2312"/>
          <w:sz w:val="32"/>
          <w:szCs w:val="32"/>
        </w:rPr>
        <w:t>加快建设钒钛新材料产业园，确保高纯钒、航空片钒、航空级钒铝合金等项目建成投产，一期5000立方米钒电解液开工建设，为承德钒钛新材料有限公司上市奠定坚实基础。发展壮大钒储能装备制造产业园，促成奥冠磷酸钒钠储能电池中试产线落地建设，确保承德钒钛、北京普能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300兆瓦钒电池一期</w:t>
      </w:r>
      <w:r>
        <w:rPr>
          <w:rFonts w:hint="eastAsia" w:ascii="仿宋_GB2312" w:hAnsi="仿宋" w:eastAsia="仿宋_GB2312" w:cs="仿宋_GB2312"/>
          <w:sz w:val="32"/>
          <w:szCs w:val="32"/>
        </w:rPr>
        <w:t>建成投产，同步发展钒储能电池材料及其成套装备，加速形成钒储能产业生态链。全力推进滦宝20万吨磷酸铁项目顺利落地，美富淦镀锌机组生产线、低温余热螺杆膨胀发电机组、北国钢带开平及纵剪加工等项目达产达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三是推进生产性服务业集群化发展。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  <w:t>发展壮大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承德市电商产业园，</w:t>
      </w:r>
      <w:r>
        <w:rPr>
          <w:rFonts w:ascii="仿宋_GB2312" w:hAnsi="仿宋_GB2312" w:eastAsia="仿宋_GB2312" w:cs="仿宋_GB2312"/>
          <w:bCs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京北最大的现代化</w:t>
      </w:r>
      <w:r>
        <w:rPr>
          <w:rFonts w:ascii="仿宋_GB2312" w:hAnsi="仿宋_GB2312" w:eastAsia="仿宋_GB2312" w:cs="仿宋_GB2312"/>
          <w:bCs/>
          <w:sz w:val="32"/>
          <w:szCs w:val="32"/>
        </w:rPr>
        <w:t>综合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性产业</w:t>
      </w:r>
      <w:r>
        <w:rPr>
          <w:rFonts w:ascii="仿宋_GB2312" w:hAnsi="仿宋_GB2312" w:eastAsia="仿宋_GB2312" w:cs="仿宋_GB2312"/>
          <w:bCs/>
          <w:sz w:val="32"/>
          <w:szCs w:val="32"/>
        </w:rPr>
        <w:t>园区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ascii="仿宋_GB2312" w:hAnsi="仿宋_GB2312" w:eastAsia="仿宋_GB2312" w:cs="仿宋_GB2312"/>
          <w:bCs/>
          <w:sz w:val="32"/>
          <w:szCs w:val="32"/>
        </w:rPr>
        <w:t>引爆新的经济增长点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拓宽普通话应用场景，大力发展普通话服务外包产业，吸引一批全国重点服务热线企业向双滦聚集，新增呼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叫坐席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00个以上。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加快鼎诚物流、致烨智慧冷链物流、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物流分拣线设备研发制造二期等项目建设，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  <w:t>力争</w:t>
      </w:r>
      <w:r>
        <w:rPr>
          <w:rFonts w:hint="eastAsia" w:ascii="仿宋_GB2312" w:hAnsi="仿宋" w:eastAsia="仿宋_GB2312" w:cs="仿宋_GB2312"/>
          <w:sz w:val="32"/>
          <w:szCs w:val="32"/>
        </w:rPr>
        <w:t>北牧乳业奶制品生产项目开工建设，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TW"/>
        </w:rPr>
        <w:t>农优生态农业供应链项目建成运营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/>
        </w:rPr>
        <w:t>四是推进清洁能源创新发展。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抢抓“双碳”政策机遇，落实新型能源强省、清洁能源强市战略部署，加快推进清洁能源开发。专班推进，争取三峡、广兴和建龙抽水蓄能项目列入国家抽水蓄能中长期发展规划。推动“风光储氢一体化”发展，力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大庙130兆瓦风光一体化项目获批落地，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确保100兆瓦共享储能项目开工建设，150兆瓦源网荷储、200兆瓦光储一体化项目年内运营。</w:t>
      </w:r>
    </w:p>
    <w:p>
      <w:pPr>
        <w:pBdr>
          <w:bottom w:val="single" w:color="FFFFFF" w:sz="4" w:space="17"/>
        </w:pBdr>
        <w:autoSpaceDN w:val="0"/>
        <w:adjustRightInd w:val="0"/>
        <w:snapToGrid w:val="0"/>
        <w:spacing w:line="56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（四）聚焦统筹融合，全力推进城乡协调发展。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全面落实乡村振兴战略和新型城镇化工作部署，推动城乡统筹融合发展。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一是推动新型城镇化建设。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</w:t>
      </w:r>
      <w:r>
        <w:rPr>
          <w:rFonts w:hint="eastAsia" w:ascii="仿宋_GB2312" w:eastAsia="仿宋_GB2312" w:cs="仿宋_GB2312"/>
          <w:sz w:val="32"/>
          <w:szCs w:val="32"/>
        </w:rPr>
        <w:t>滦河新城偏桥子、陈栅子区域现代都市田园风光带，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</w:t>
      </w:r>
      <w:r>
        <w:rPr>
          <w:rFonts w:hint="eastAsia" w:ascii="仿宋_GB2312" w:eastAsia="仿宋_GB2312" w:cs="仿宋_GB2312"/>
          <w:sz w:val="32"/>
          <w:szCs w:val="32"/>
        </w:rPr>
        <w:t>滦河新城都市田园风光带，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启动东山头、冯营子回迁楼建设，高质量规划建设伊水新城，注入城市发展新活力。推进老城更新，完成大元宝山、下店子棚户区改造，压茬推进锦绣城、中心大街等5条市政道路提升，高</w:t>
      </w:r>
      <w:r>
        <w:rPr>
          <w:rFonts w:hint="eastAsia" w:ascii="仿宋_GB2312" w:hAnsi="仿宋" w:eastAsia="仿宋_GB2312" w:cs="仿宋_GB2312"/>
          <w:sz w:val="32"/>
          <w:szCs w:val="32"/>
        </w:rPr>
        <w:t>标准实施主干道、重要节点标志性绿化、亮化项目17个，统筹实施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人行道降坡、天然气管网置换三期等重点工程，让城市更加安全、美丽、宜居。完成中营子、东山头、紫樾江山区域市政路网、综合管网铺设，推动基础设施向城市外沿和产业聚集区延伸。积极跑办西狮线、省道S503和国道G233改线等项目前期，完成西大线、双偏线、南互通、河南营隧道等项目主体，完善“一环十射”交通路网体系。</w:t>
      </w:r>
      <w:r>
        <w:rPr>
          <w:rFonts w:hint="eastAsia" w:ascii="仿宋_GB2312" w:hAnsi="仿宋_GB2312" w:eastAsia="仿宋_GB2312" w:cs="仿宋_GB2312"/>
          <w:b/>
          <w:bCs/>
          <w:color w:val="36363D"/>
          <w:sz w:val="32"/>
          <w:szCs w:val="32"/>
        </w:rPr>
        <w:t>二是全面推进乡村振兴建战略。</w:t>
      </w:r>
      <w:r>
        <w:rPr>
          <w:rFonts w:hint="eastAsia" w:ascii="仿宋_GB2312" w:eastAsia="仿宋_GB2312"/>
          <w:sz w:val="32"/>
          <w:szCs w:val="32"/>
        </w:rPr>
        <w:t>扎实推进大贵口省级乡村振兴示范区建设，引领带动全区乡村建设上水平、提层级。大力发展现代都市农业，推进农业嘉年华项目开工建设，推广山谷田园建设模式，适度有序推进偏桥子、陈栅子区域设施农业提档升级，打造现代休闲农业示范区。促进农村闲置资产资源盘活利用，增强集体经济“造血”功能，力争村集体经济收入10万元以上的行政村占比达到75%以上。持续改善农村人居环境，扎实开展农村垃圾污水治理、厕所革命、村容村貌提升行动，推进农村垃圾、污水有效管控，巷道硬化、亮化全覆盖。</w:t>
      </w:r>
      <w:r>
        <w:rPr>
          <w:rFonts w:hint="eastAsia" w:ascii="仿宋_GB2312" w:hAnsi="仿宋_GB2312" w:eastAsia="仿宋_GB2312" w:cs="仿宋_GB2312"/>
          <w:b/>
          <w:bCs/>
          <w:color w:val="36363D"/>
          <w:sz w:val="32"/>
          <w:szCs w:val="32"/>
        </w:rPr>
        <w:t>三是加速实现绿色低碳发展。</w:t>
      </w:r>
      <w:r>
        <w:rPr>
          <w:rFonts w:hint="eastAsia" w:ascii="仿宋_GB2312" w:eastAsia="仿宋_GB2312"/>
          <w:sz w:val="32"/>
          <w:szCs w:val="32"/>
        </w:rPr>
        <w:t>统筹山水林田湖草沙一体化保护和系统治理。</w:t>
      </w:r>
      <w:r>
        <w:rPr>
          <w:rFonts w:hint="eastAsia" w:ascii="仿宋_GB2312" w:eastAsia="仿宋_GB2312"/>
          <w:sz w:val="32"/>
          <w:szCs w:val="32"/>
          <w:lang w:val="zh-CN"/>
        </w:rPr>
        <w:t>完成引滦入津上游（双滦段）饮用水源保护区环境治理</w:t>
      </w:r>
      <w:r>
        <w:rPr>
          <w:rFonts w:hint="eastAsia" w:ascii="仿宋_GB2312" w:eastAsia="仿宋_GB2312"/>
          <w:sz w:val="32"/>
          <w:szCs w:val="32"/>
        </w:rPr>
        <w:t>、陈栅子二兴营等区域小流域治理、牦牛河生态治理二期工程，修复河道2公里，建设生态护岸11.2公里，治理小流域10平方公里。严格落实“林长制”，有效保护林草资源，持续实施国土绿化行动，完成营造林3000亩。强化国土空间规划和用途管控，严格执行“三线一单”，坚决遏制“两高”项目盲目上马。加强与河北工业大学等院校合作，探索工业固废循环利用新路径，加快金隅超细粉、钒钛渣粉、蒸压隔墙板等项目建设，实现钢渣、水渣、粉煤灰等工业固废“吃干榨净”。</w:t>
      </w:r>
      <w:r>
        <w:rPr>
          <w:rFonts w:hint="eastAsia" w:ascii="仿宋_GB2312" w:eastAsia="仿宋_GB2312"/>
          <w:sz w:val="32"/>
          <w:szCs w:val="32"/>
          <w:lang w:val="zh-CN"/>
        </w:rPr>
        <w:t>抢抓“双碳”机遇，积极探索生态产品价值实现路径，</w:t>
      </w:r>
      <w:r>
        <w:rPr>
          <w:rFonts w:hint="eastAsia" w:ascii="仿宋_GB2312" w:eastAsia="仿宋_GB2312"/>
          <w:sz w:val="32"/>
          <w:szCs w:val="32"/>
        </w:rPr>
        <w:t>摸清“森林草地湿地固碳总量”家底，完成金厂沟林场固碳量备案，推进林权、用能权等市场化交易，加快森林固碳产品和风光电等清洁能源降碳产品开发，探索绿色金融服务模式，推动形成生态产业化、产业生态化的生态经济体系。</w:t>
      </w:r>
    </w:p>
    <w:p>
      <w:pPr>
        <w:pBdr>
          <w:bottom w:val="single" w:color="FFFFFF" w:sz="4" w:space="17"/>
        </w:pBdr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（五）聚焦改革创新，持续增强经济发展活力。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全力推进承德国家可持续发展创新议程示范区建设，加大科技创新力度，推进重点领域改革，努力打造更优营商环境。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一是强化创新配套体系。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科技创新政策，推动研发费用加计扣除等普惠性政策应享尽享，健全财政科技投入增长机制，带动全社会研发投入增长10%以上。完善科技成果转化机制，激发科研人员创新积极性。强化资金导向作用，在关键共性技术研发、重大科技成果引进转化、高端科技人才和团队引进、重大创新平台建设等方面整合资源、集中发力。支持领军企业组建创新联合体，落实“揭榜挂帅”制度，深化产学研协同创新，在钒钛新材料、清洁能源等领域集中突破一批关键技术。加快推进启迪之星落地双滦，充分发挥河北工业大学双碳产业（承德）研究院等科技创新孵化平台作用，争取更多科技成果在双滦开花结果。深入实施科技企业培育计划，新增科技型中小企业10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高新技术企业3家。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二是建立更优营商环境。</w:t>
      </w:r>
      <w:r>
        <w:rPr>
          <w:rFonts w:hint="eastAsia" w:ascii="仿宋_GB2312" w:eastAsia="仿宋_GB2312"/>
          <w:color w:val="auto"/>
          <w:sz w:val="32"/>
          <w:szCs w:val="32"/>
        </w:rPr>
        <w:t>持续深化“放管服”改革，大力开展“不说不、只说行、一次成”行动，为企业提供“一站式、全流程”服务，做企业发展的金牌“店小二”，项目建设的最美“服务员”。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持续提高“办事一次成”实现率，健全“六全”服务、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“一次性告知”、“不打烊”等配套制度，打造更优营商环境。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三是推进重点领域改革。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经营性国有资产集中统一监管改革任务，搭建国资国企在线监管平台，建立横向到边、纵向到底的实时动态监管体系，实现对国有资本的全面有效监管。落实农村产权交易中心农村产权抵押登记职能，依法依规开展农村产权抵押贷款业务。抓好农村土地“三权分置”改革、农村集体产权制度改革成果应用，稳慎推进宅基地改革。</w:t>
      </w:r>
    </w:p>
    <w:p>
      <w:pPr>
        <w:pBdr>
          <w:bottom w:val="single" w:color="FFFFFF" w:sz="4" w:space="17"/>
        </w:pBdr>
        <w:autoSpaceDN w:val="0"/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（六）聚焦民生保障，全力提升群众生活品质。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坚持把改善民生作为各项工作的出发点和落脚点，不断提高民生福祉。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36363D"/>
          <w:sz w:val="32"/>
          <w:szCs w:val="32"/>
        </w:rPr>
        <w:t>加大社会保障力度。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就业优先战略，确保大学生等重点群体和零就业家庭稳定就业，新增城镇就业3200人以上、失业人员再就业800人以上。构建分层分类、城乡统筹的社会保障体系，完善城乡基本医保、大病保险和救助制度，扩大异地就医结算范围，积极推行商业医疗保险。提高城乡低保和特困供养标准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有效发挥兜底保障作用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36363D"/>
          <w:sz w:val="32"/>
          <w:szCs w:val="32"/>
        </w:rPr>
        <w:t>二是提高公共服务质量。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加快推进职业教育提质创优、义务教育优质均衡，持续落实“双减”政策。加快推进圣泉高中、双滦区第七小学建设。优化师资结构，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开展卓越教师梯次培养计划。大力实施农村学校改造提升工程，加快教育城乡一体化进程。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探索建立三级医疗机构协同发</w:t>
      </w:r>
      <w:r>
        <w:rPr>
          <w:rFonts w:hint="eastAsia" w:ascii="仿宋_GB2312" w:hAnsi="Helvetica" w:eastAsia="仿宋_GB2312"/>
          <w:color w:val="000000"/>
          <w:sz w:val="32"/>
          <w:szCs w:val="32"/>
        </w:rPr>
        <w:t>展模式，打通群众看病难“最后一百米”。发挥社区日间照料服务站作用，支持各类社会力量参与养老事业，构建居家、社区、机构相互补充的养老服务体系。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实施公共文化服务达标提质行动，补齐公共文化设施短板，建设“城市书屋”“文化驿站”。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三是确保社会大局和谐稳定。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统筹发展与安全，树牢底线思维，着力做好财政金融、安全生产、森林草原防火等领域风险防范化解工作，常态化开展扫黑除恶，强化基层治理，坚决守住不发生系统性区域性风险底线，确保社会大局和谐稳定。</w:t>
      </w:r>
    </w:p>
    <w:p>
      <w:pPr>
        <w:pBdr>
          <w:bottom w:val="single" w:color="FFFFFF" w:sz="4" w:space="17"/>
        </w:pBdr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各位代表，做好2023年全区经济社会发展工作，意义重大、使命光荣。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让我们更加紧密地团结在以习近平同志为核心的党中央周围，以习近平新时代中国特色社会主义思想为指导，全面贯彻落实党的二十大精神，在区委的坚强领导下，</w:t>
      </w:r>
      <w:r>
        <w:rPr>
          <w:rFonts w:hint="eastAsia" w:ascii="仿宋_GB2312" w:hAnsi="仿宋" w:eastAsia="仿宋_GB2312" w:cs="仿宋_GB2312"/>
          <w:sz w:val="32"/>
          <w:szCs w:val="32"/>
        </w:rPr>
        <w:t>“撸起袖子加油干、风雨无阻向前行”，加快推动实现中国式现代化双滦实践场景，奋力开创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现代化“经济强区、美丽双滦”新局面，为全面建设社会主义现代化国家，全面推进中华民族伟大复兴作出新的更大贡献。</w:t>
      </w:r>
    </w:p>
    <w:p>
      <w:pPr>
        <w:pStyle w:val="14"/>
        <w:autoSpaceDN w:val="0"/>
        <w:spacing w:line="560" w:lineRule="exact"/>
        <w:ind w:firstLine="645"/>
        <w:jc w:val="left"/>
        <w:rPr>
          <w:rFonts w:ascii="仿宋_GB2312" w:hAnsi="仿宋_GB2312" w:eastAsia="仿宋_GB2312" w:cs="仿宋_GB2312"/>
          <w:b w:val="0"/>
          <w:bCs w:val="0"/>
          <w:sz w:val="32"/>
        </w:rPr>
      </w:pPr>
    </w:p>
    <w:p>
      <w:pPr>
        <w:pStyle w:val="6"/>
        <w:autoSpaceDN w:val="0"/>
        <w:spacing w:before="0" w:beforeAutospacing="0" w:after="0" w:line="560" w:lineRule="exact"/>
        <w:ind w:right="320"/>
        <w:rPr>
          <w:rFonts w:ascii="仿宋_GB2312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474" w:bottom="1474" w:left="1474" w:header="851" w:footer="170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31422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0"/>
          <w:ind w:right="210" w:rightChars="100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3142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0"/>
          <w:ind w:left="210" w:leftChars="10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MTc0MjVjZjE3NDA2YjAwYmFkNjVkZjczZGE3YjMifQ=="/>
  </w:docVars>
  <w:rsids>
    <w:rsidRoot w:val="00C85EC4"/>
    <w:rsid w:val="00093FB6"/>
    <w:rsid w:val="0051349E"/>
    <w:rsid w:val="007D7429"/>
    <w:rsid w:val="009412E0"/>
    <w:rsid w:val="009E410D"/>
    <w:rsid w:val="00A6781F"/>
    <w:rsid w:val="00B63777"/>
    <w:rsid w:val="00C85EC4"/>
    <w:rsid w:val="00CC2E94"/>
    <w:rsid w:val="00EA66B5"/>
    <w:rsid w:val="00F146BA"/>
    <w:rsid w:val="00FF58CA"/>
    <w:rsid w:val="037A0454"/>
    <w:rsid w:val="098175B4"/>
    <w:rsid w:val="1F5844BB"/>
    <w:rsid w:val="2C1953C6"/>
    <w:rsid w:val="31F84007"/>
    <w:rsid w:val="3B204860"/>
    <w:rsid w:val="40C96E57"/>
    <w:rsid w:val="4391606A"/>
    <w:rsid w:val="65DA591B"/>
    <w:rsid w:val="6C3306DA"/>
    <w:rsid w:val="6E91020B"/>
    <w:rsid w:val="70A1703D"/>
    <w:rsid w:val="74C23A26"/>
    <w:rsid w:val="7B18439F"/>
    <w:rsid w:val="7D9F2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23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24"/>
    <w:qFormat/>
    <w:uiPriority w:val="99"/>
    <w:pPr>
      <w:spacing w:beforeAutospacing="1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Body Text"/>
    <w:basedOn w:val="1"/>
    <w:next w:val="7"/>
    <w:qFormat/>
    <w:uiPriority w:val="99"/>
    <w:pPr>
      <w:spacing w:before="100" w:beforeAutospacing="1" w:after="120"/>
    </w:pPr>
  </w:style>
  <w:style w:type="paragraph" w:customStyle="1" w:styleId="7">
    <w:name w:val="正文部分 Char Char Char"/>
    <w:basedOn w:val="6"/>
    <w:next w:val="1"/>
    <w:qFormat/>
    <w:uiPriority w:val="99"/>
    <w:pPr>
      <w:adjustRightInd w:val="0"/>
      <w:snapToGrid w:val="0"/>
      <w:spacing w:line="460" w:lineRule="exact"/>
      <w:textAlignment w:val="baseline"/>
    </w:pPr>
    <w:rPr>
      <w:sz w:val="24"/>
    </w:rPr>
  </w:style>
  <w:style w:type="paragraph" w:styleId="8">
    <w:name w:val="Body Text Indent"/>
    <w:basedOn w:val="1"/>
    <w:next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paragraph" w:styleId="9">
    <w:name w:val="Plain Text"/>
    <w:basedOn w:val="1"/>
    <w:qFormat/>
    <w:uiPriority w:val="99"/>
    <w:rPr>
      <w:rFonts w:ascii="宋体" w:hAnsi="Courier New" w:cs="Courier New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15">
    <w:name w:val="Body Text First Indent 2"/>
    <w:basedOn w:val="8"/>
    <w:next w:val="1"/>
    <w:qFormat/>
    <w:uiPriority w:val="0"/>
    <w:pPr>
      <w:ind w:firstLine="1134"/>
    </w:pPr>
    <w:rPr>
      <w:rFonts w:ascii="Times New Roman" w:hAnsi="Times New Roman"/>
      <w:sz w:val="33"/>
    </w:rPr>
  </w:style>
  <w:style w:type="character" w:styleId="18">
    <w:name w:val="Strong"/>
    <w:basedOn w:val="17"/>
    <w:qFormat/>
    <w:uiPriority w:val="99"/>
    <w:rPr>
      <w:b/>
      <w:bCs/>
    </w:rPr>
  </w:style>
  <w:style w:type="character" w:styleId="19">
    <w:name w:val="page number"/>
    <w:basedOn w:val="17"/>
    <w:qFormat/>
    <w:uiPriority w:val="99"/>
  </w:style>
  <w:style w:type="character" w:styleId="20">
    <w:name w:val="FollowedHyperlink"/>
    <w:basedOn w:val="17"/>
    <w:qFormat/>
    <w:uiPriority w:val="99"/>
    <w:rPr>
      <w:color w:val="800080"/>
      <w:u w:val="none"/>
    </w:rPr>
  </w:style>
  <w:style w:type="character" w:styleId="21">
    <w:name w:val="Hyperlink"/>
    <w:basedOn w:val="17"/>
    <w:qFormat/>
    <w:uiPriority w:val="99"/>
    <w:rPr>
      <w:color w:val="0000FF"/>
      <w:u w:val="none"/>
    </w:rPr>
  </w:style>
  <w:style w:type="paragraph" w:customStyle="1" w:styleId="22">
    <w:name w:val="正文-公1"/>
    <w:basedOn w:val="1"/>
    <w:qFormat/>
    <w:uiPriority w:val="99"/>
    <w:pPr>
      <w:ind w:firstLine="200" w:firstLineChars="200"/>
    </w:pPr>
  </w:style>
  <w:style w:type="character" w:customStyle="1" w:styleId="23">
    <w:name w:val="标题 2 Char"/>
    <w:basedOn w:val="17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24">
    <w:name w:val="标题 4 Char"/>
    <w:basedOn w:val="17"/>
    <w:link w:val="4"/>
    <w:qFormat/>
    <w:uiPriority w:val="9"/>
    <w:rPr>
      <w:rFonts w:ascii="Cambria" w:hAnsi="Cambria" w:eastAsia="宋体" w:cs="宋体"/>
      <w:b/>
      <w:bCs/>
      <w:sz w:val="28"/>
      <w:szCs w:val="28"/>
    </w:rPr>
  </w:style>
  <w:style w:type="character" w:customStyle="1" w:styleId="25">
    <w:name w:val="页脚 Char"/>
    <w:basedOn w:val="17"/>
    <w:link w:val="10"/>
    <w:qFormat/>
    <w:uiPriority w:val="99"/>
    <w:rPr>
      <w:rFonts w:ascii="Calibri" w:hAnsi="Calibri" w:cs="Calibri"/>
      <w:sz w:val="18"/>
      <w:szCs w:val="18"/>
    </w:rPr>
  </w:style>
  <w:style w:type="character" w:customStyle="1" w:styleId="26">
    <w:name w:val="页眉 Char"/>
    <w:basedOn w:val="17"/>
    <w:link w:val="11"/>
    <w:qFormat/>
    <w:uiPriority w:val="99"/>
    <w:rPr>
      <w:rFonts w:ascii="Calibri" w:hAnsi="Calibri" w:cs="Calibri"/>
      <w:sz w:val="18"/>
      <w:szCs w:val="18"/>
    </w:rPr>
  </w:style>
  <w:style w:type="paragraph" w:customStyle="1" w:styleId="27">
    <w:name w:val="Char1 Char Char Char"/>
    <w:basedOn w:val="1"/>
    <w:qFormat/>
    <w:uiPriority w:val="99"/>
  </w:style>
  <w:style w:type="paragraph" w:customStyle="1" w:styleId="28">
    <w:name w:val="Char"/>
    <w:basedOn w:val="1"/>
    <w:qFormat/>
    <w:uiPriority w:val="99"/>
  </w:style>
  <w:style w:type="paragraph" w:customStyle="1" w:styleId="29">
    <w:name w:val="p0"/>
    <w:basedOn w:val="1"/>
    <w:qFormat/>
    <w:uiPriority w:val="99"/>
    <w:pPr>
      <w:widowControl/>
    </w:pPr>
    <w:rPr>
      <w:kern w:val="0"/>
    </w:rPr>
  </w:style>
  <w:style w:type="character" w:customStyle="1" w:styleId="30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16</Pages>
  <Words>8996</Words>
  <Characters>9368</Characters>
  <Lines>66</Lines>
  <Paragraphs>18</Paragraphs>
  <TotalTime>15</TotalTime>
  <ScaleCrop>false</ScaleCrop>
  <LinksUpToDate>false</LinksUpToDate>
  <CharactersWithSpaces>9369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2023-01-27T08:01:00Z</dcterms:created>
  <dc:creator>lenovo</dc:creator>
  <cp:lastModifiedBy>逗逗</cp:lastModifiedBy>
  <cp:lastPrinted>2023-01-12T17:55:00Z</cp:lastPrinted>
  <dcterms:modified xsi:type="dcterms:W3CDTF">2023-06-05T01:31:52Z</dcterms:modified>
  <dc:title>承德市双滦区人民政府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4F089044F4E54D97B8EC3C60D958108B</vt:lpwstr>
  </property>
</Properties>
</file>