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国标仿宋" w:hAnsi="国标仿宋" w:eastAsia="国标仿宋" w:cs="国标仿宋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vertAlign w:val="baseline"/>
          <w:lang w:val="en-US" w:eastAsia="zh-CN" w:bidi="ar"/>
        </w:rPr>
        <w:t>涉企行政检查主体情况表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国标仿宋" w:hAnsi="国标仿宋" w:eastAsia="国标仿宋" w:cs="国标仿宋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0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  <w:t>双滦区住建局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  <w:t>是否为涉企行政检查主体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  <w:t>列举一条涉企行政执法的法律依据（仅涉企行政检查主体填写）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仿宋" w:hAnsi="国标仿宋" w:eastAsia="国标仿宋" w:cs="国标仿宋"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  <w:t>《中华人民共和国建筑法》第四十三条：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建设行政主管部门负责建筑安全生产的管理，并依法接受劳动行政主管部门对建筑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安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全生产的指导和监督</w:t>
            </w:r>
            <w:r>
              <w:rPr>
                <w:rFonts w:hint="eastAsia" w:ascii="国标仿宋" w:hAnsi="国标仿宋" w:eastAsia="国标仿宋" w:cs="国标仿宋"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  <w:t>单位主要负责人签字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国标仿宋" w:hAnsi="国标仿宋" w:eastAsia="国标仿宋" w:cs="国标仿宋"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  <w:t>2025.03.11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175E9"/>
    <w:rsid w:val="2B31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2025-03-11T02:57:00Z</dcterms:created>
  <dc:creator>admin</dc:creator>
  <cp:lastModifiedBy>admin</cp:lastModifiedBy>
  <dcterms:modified xsi:type="dcterms:W3CDTF">2025-03-11T03:08:50Z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C074861371244BC5AEFDBC337973DBC2</vt:lpwstr>
  </property>
</Properties>
</file>