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overflowPunct/>
        <w:topLinePunct w:val="0"/>
        <w:autoSpaceDE/>
        <w:autoSpaceDN/>
        <w:bidi w:val="0"/>
        <w:spacing w:line="360" w:lineRule="auto"/>
        <w:ind w:firstLine="880"/>
        <w:jc w:val="center"/>
        <w:textAlignment w:val="auto"/>
        <w:rPr>
          <w:rFonts w:ascii="方正小标宋简体" w:eastAsia="方正小标宋简体"/>
          <w:sz w:val="44"/>
          <w:szCs w:val="44"/>
        </w:rPr>
      </w:pPr>
      <w:r>
        <w:rPr>
          <w:rFonts w:hint="eastAsia" w:ascii="方正小标宋简体" w:eastAsia="方正小标宋简体"/>
          <w:sz w:val="44"/>
          <w:szCs w:val="44"/>
        </w:rPr>
        <w:t>双滦区市场监督管理局</w:t>
      </w:r>
    </w:p>
    <w:p>
      <w:pPr>
        <w:pStyle w:val="11"/>
        <w:keepNext w:val="0"/>
        <w:keepLines w:val="0"/>
        <w:pageBreakBefore w:val="0"/>
        <w:kinsoku/>
        <w:overflowPunct/>
        <w:topLinePunct w:val="0"/>
        <w:autoSpaceDE/>
        <w:autoSpaceDN/>
        <w:bidi w:val="0"/>
        <w:spacing w:line="360" w:lineRule="auto"/>
        <w:ind w:firstLine="640"/>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2022年度法治政府建设工作报告</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sz w:val="32"/>
          <w:szCs w:val="32"/>
        </w:rPr>
      </w:pPr>
      <w:r>
        <w:rPr>
          <w:rFonts w:hint="eastAsia" w:ascii="仿宋_GB2312" w:hAnsi="仿宋" w:eastAsia="仿宋_GB2312"/>
          <w:sz w:val="32"/>
          <w:szCs w:val="32"/>
        </w:rPr>
        <w:t>2022年以来，双滦区市场监督管理局在区委区政府领导下和市局的业务指导下，以习近平新时代中国特色社会主义思想为指导，紧紧围绕区委区政府及市局对市场监管工作的要求，创新工作机制、依法履行职责，各项工作取得了较大进展。</w:t>
      </w:r>
    </w:p>
    <w:p>
      <w:pPr>
        <w:pStyle w:val="11"/>
        <w:keepNext w:val="0"/>
        <w:keepLines w:val="0"/>
        <w:pageBreakBefore w:val="0"/>
        <w:kinsoku/>
        <w:overflowPunct/>
        <w:topLinePunct w:val="0"/>
        <w:autoSpaceDE/>
        <w:autoSpaceDN/>
        <w:bidi w:val="0"/>
        <w:spacing w:line="360" w:lineRule="auto"/>
        <w:ind w:firstLine="643"/>
        <w:textAlignment w:val="auto"/>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lang w:val="en-US" w:eastAsia="zh-CN"/>
          <w14:textFill>
            <w14:solidFill>
              <w14:schemeClr w14:val="tx1"/>
            </w14:solidFill>
          </w14:textFill>
        </w:rPr>
        <w:t>一、</w:t>
      </w:r>
      <w:r>
        <w:rPr>
          <w:rFonts w:hint="eastAsia" w:ascii="楷体_GB2312" w:hAnsi="黑体" w:eastAsia="楷体_GB2312"/>
          <w:b/>
          <w:color w:val="000000" w:themeColor="text1"/>
          <w:sz w:val="32"/>
          <w:szCs w:val="32"/>
          <w14:textFill>
            <w14:solidFill>
              <w14:schemeClr w14:val="tx1"/>
            </w14:solidFill>
          </w14:textFill>
        </w:rPr>
        <w:t>聚焦“四个最严”要求，着力严守民生安全底线</w:t>
      </w:r>
    </w:p>
    <w:p>
      <w:pPr>
        <w:keepNext w:val="0"/>
        <w:keepLines w:val="0"/>
        <w:pageBreakBefore w:val="0"/>
        <w:widowControl w:val="0"/>
        <w:kinsoku/>
        <w:overflowPunct/>
        <w:topLinePunct w:val="0"/>
        <w:autoSpaceDE/>
        <w:autoSpaceDN/>
        <w:bidi w:val="0"/>
        <w:spacing w:after="0" w:line="360" w:lineRule="auto"/>
        <w:ind w:firstLine="640" w:firstLineChars="200"/>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sz w:val="32"/>
          <w:szCs w:val="32"/>
        </w:rPr>
        <w:t>1、强化食品安全监管。一是</w:t>
      </w:r>
      <w:r>
        <w:rPr>
          <w:rFonts w:hint="eastAsia" w:ascii="仿宋_GB2312" w:hAnsi="仿宋_GB2312" w:eastAsia="仿宋_GB2312" w:cs="仿宋_GB2312"/>
          <w:color w:val="000000" w:themeColor="text1"/>
          <w:kern w:val="2"/>
          <w:sz w:val="32"/>
          <w:szCs w:val="32"/>
          <w14:textFill>
            <w14:solidFill>
              <w14:schemeClr w14:val="tx1"/>
            </w14:solidFill>
          </w14:textFill>
        </w:rPr>
        <w:t>以“守底线 查隐患 保安全”专项行动为切入点，开展食品安全风险隐患大排查、大整治，组织食用农产品质量安全、食品相关产品生产企业监管、保健食品专项、春季校园食品安全、网络餐饮服务整治等各项专项行动10余次，出动执法人员2681人次，共检查各类经营主体1175户次。其中17家食品经营户存在食品安全隐患，13家已整改到位，4家立案处理，开展食品安全抽检210批次，其中4批次食用农产品抽检不合格，依法依规进行了处理。二是以食品安全提升工程为着力点，严格生产经营企业量化分级、推进食品安全溯源体系建设、“放心肉菜”示范超市创建、放心食品销售公开承诺等工作，食品安全形势稳定向好。</w:t>
      </w:r>
      <w:r>
        <w:rPr>
          <w:rFonts w:hint="eastAsia" w:ascii="仿宋_GB2312" w:hAnsi="仿宋_GB2312" w:eastAsia="仿宋_GB2312" w:cs="仿宋_GB2312"/>
          <w:color w:val="000000" w:themeColor="text1"/>
          <w:sz w:val="32"/>
          <w:szCs w:val="32"/>
          <w14:textFill>
            <w14:solidFill>
              <w14:schemeClr w14:val="tx1"/>
            </w14:solidFill>
          </w14:textFill>
        </w:rPr>
        <w:t>三是圆满完成高考期间食品安全保障工作。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至今</w:t>
      </w:r>
      <w:r>
        <w:rPr>
          <w:rFonts w:hint="eastAsia" w:ascii="仿宋_GB2312" w:hAnsi="仿宋_GB2312" w:eastAsia="仿宋_GB2312" w:cs="仿宋_GB2312"/>
          <w:color w:val="000000" w:themeColor="text1"/>
          <w:sz w:val="32"/>
          <w:szCs w:val="32"/>
          <w14:textFill>
            <w14:solidFill>
              <w14:schemeClr w14:val="tx1"/>
            </w14:solidFill>
          </w14:textFill>
        </w:rPr>
        <w:t xml:space="preserve">，全区食品安全零事故。  </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sz w:val="32"/>
          <w:szCs w:val="32"/>
        </w:rPr>
      </w:pPr>
      <w:r>
        <w:rPr>
          <w:rFonts w:hint="eastAsia" w:ascii="仿宋_GB2312" w:hAnsi="仿宋" w:eastAsia="仿宋_GB2312"/>
          <w:sz w:val="32"/>
          <w:szCs w:val="32"/>
        </w:rPr>
        <w:t>2、强化药品安全监管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 w:eastAsia="仿宋_GB2312"/>
          <w:sz w:val="32"/>
          <w:szCs w:val="32"/>
        </w:rPr>
        <w:t>一是以保安全、守底线为着力点，深入开展非法渠道购销药品、网络售药、疫苗接种质量安全风险等专项整治活动，持续开展医疗机构药品质量安全提升，对药械经营单位、医疗机构、疾控中心、疫苗接种单位进行全覆盖检查，出动执法人员650余人次，检查药械经营单位303家次，医疗机构7家次，发现问题19个，已全部整改完毕，立案7起，结案6起，下达责令改正通知书14份、当场行政处罚决定警告14份，向卫健部门移送线索2条。二是进一步加强药品、医疗器械检测、监测，完成药品抽检21批次，结果均合格。三是上报化妆品不良反应10例，医疗器械不良事件30例，药品不良反应报告94例。四是积极发挥药店人员流动性大特点，向区防控办推送药店登记外地来承人员1400余人次，向所属镇街推送“四类药品”购药人信息5.3万余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至今</w:t>
      </w:r>
      <w:r>
        <w:rPr>
          <w:rFonts w:hint="eastAsia" w:ascii="仿宋_GB2312" w:hAnsi="仿宋_GB2312" w:eastAsia="仿宋_GB2312" w:cs="仿宋_GB2312"/>
          <w:color w:val="000000" w:themeColor="text1"/>
          <w:sz w:val="32"/>
          <w:szCs w:val="32"/>
          <w14:textFill>
            <w14:solidFill>
              <w14:schemeClr w14:val="tx1"/>
            </w14:solidFill>
          </w14:textFill>
        </w:rPr>
        <w:t>，全区药品安全零事故。</w:t>
      </w:r>
    </w:p>
    <w:p>
      <w:pPr>
        <w:keepNext w:val="0"/>
        <w:keepLines w:val="0"/>
        <w:pageBreakBefore w:val="0"/>
        <w:widowControl w:val="0"/>
        <w:kinsoku/>
        <w:overflowPunct/>
        <w:topLinePunct w:val="0"/>
        <w:autoSpaceDE/>
        <w:autoSpaceDN/>
        <w:bidi w:val="0"/>
        <w:spacing w:after="0" w:line="360" w:lineRule="auto"/>
        <w:ind w:firstLine="640" w:firstLineChars="200"/>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sz w:val="32"/>
          <w:szCs w:val="32"/>
        </w:rPr>
        <w:t>3、强化特种设备安全监管。</w:t>
      </w:r>
      <w:r>
        <w:rPr>
          <w:rFonts w:hint="eastAsia" w:ascii="仿宋_GB2312" w:hAnsi="仿宋_GB2312" w:eastAsia="仿宋_GB2312" w:cs="仿宋_GB2312"/>
          <w:color w:val="000000" w:themeColor="text1"/>
          <w:kern w:val="2"/>
          <w:sz w:val="32"/>
          <w:szCs w:val="32"/>
          <w14:textFill>
            <w14:solidFill>
              <w14:schemeClr w14:val="tx1"/>
            </w14:solidFill>
          </w14:textFill>
        </w:rPr>
        <w:t>一是为保证全区安全生产形势稳定，切实抓好安全生产,对全区特种设备进行安全检查。截至目前我局共组织检查各类企事业单位120家次，出动执法人员400余人次，检查特种设备1400余台，发现一般安全隐患124处，整改121处（3处正在整改中）。二是开展安全生产大检查工作，截至目前我局共出动执法人员180余人次，对我区26家特种设备重点使用单位进行了全面检查，检查发现一般安全隐患42项，未发现重大安全隐患。针对发现的问题我局已要求各特种设备使用单位限期进行整改，各单位已在规定期限内进行了整改并提交了整改情况说明。</w:t>
      </w:r>
      <w:r>
        <w:rPr>
          <w:rFonts w:hint="eastAsia" w:ascii="仿宋_GB2312" w:hAnsi="仿宋_GB2312" w:eastAsia="仿宋_GB2312" w:cs="仿宋_GB2312"/>
          <w:color w:val="000000" w:themeColor="text1"/>
          <w:sz w:val="32"/>
          <w:szCs w:val="32"/>
          <w14:textFill>
            <w14:solidFill>
              <w14:schemeClr w14:val="tx1"/>
            </w14:solidFill>
          </w14:textFill>
        </w:rPr>
        <w:t>上半年，全区特种设备安全零事故。</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color w:val="FF0000"/>
          <w:sz w:val="32"/>
          <w:szCs w:val="32"/>
        </w:rPr>
      </w:pPr>
      <w:r>
        <w:rPr>
          <w:rFonts w:hint="eastAsia" w:ascii="仿宋_GB2312" w:hAnsi="仿宋" w:eastAsia="仿宋_GB2312"/>
          <w:sz w:val="32"/>
          <w:szCs w:val="32"/>
        </w:rPr>
        <w:t>4、强化工业品质量监管。一是散煤管控联合执法小组已出动314组次,出动执法人员1256人次，出动执法车辆400余台次，劝返疑似运煤车辆24台次，查扣散煤7.98吨，已全部移交给双滦区发改局；二是对全区现有25个加油站所经营的车用柴油、车用汽油进行了抽样检验，共抽检45个批次，全部合格；三是开展流通领域商品质量抽查,目前已抽检44个批次，其中1批次产品不合格，已立案处理。</w:t>
      </w:r>
    </w:p>
    <w:p>
      <w:pPr>
        <w:pStyle w:val="11"/>
        <w:keepNext w:val="0"/>
        <w:keepLines w:val="0"/>
        <w:pageBreakBefore w:val="0"/>
        <w:kinsoku/>
        <w:overflowPunct/>
        <w:topLinePunct w:val="0"/>
        <w:autoSpaceDE/>
        <w:autoSpaceDN/>
        <w:bidi w:val="0"/>
        <w:spacing w:line="360" w:lineRule="auto"/>
        <w:ind w:firstLine="643"/>
        <w:textAlignment w:val="auto"/>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lang w:val="en-US" w:eastAsia="zh-CN"/>
          <w14:textFill>
            <w14:solidFill>
              <w14:schemeClr w14:val="tx1"/>
            </w14:solidFill>
          </w14:textFill>
        </w:rPr>
        <w:t>二、</w:t>
      </w:r>
      <w:r>
        <w:rPr>
          <w:rFonts w:hint="eastAsia" w:ascii="楷体_GB2312" w:hAnsi="黑体" w:eastAsia="楷体_GB2312"/>
          <w:b/>
          <w:color w:val="000000" w:themeColor="text1"/>
          <w:sz w:val="32"/>
          <w:szCs w:val="32"/>
          <w14:textFill>
            <w14:solidFill>
              <w14:schemeClr w14:val="tx1"/>
            </w14:solidFill>
          </w14:textFill>
        </w:rPr>
        <w:t>聚焦整治突出问题，着力营造放心消费环境</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sz w:val="32"/>
          <w:szCs w:val="32"/>
        </w:rPr>
      </w:pPr>
      <w:r>
        <w:rPr>
          <w:rFonts w:hint="eastAsia" w:ascii="仿宋_GB2312" w:hAnsi="仿宋" w:eastAsia="仿宋_GB2312"/>
          <w:sz w:val="32"/>
          <w:szCs w:val="32"/>
        </w:rPr>
        <w:t>1、加大案件查办力度。在执法、办案、处罚的各个环节中，我们严格按照《行政处罚法》、《市场监督管理行政处罚程序规定》的内容规范执法行为;严格按照《行政处罚法》第</w:t>
      </w:r>
      <w:r>
        <w:rPr>
          <w:rFonts w:hint="eastAsia" w:ascii="仿宋_GB2312" w:hAnsi="仿宋" w:eastAsia="仿宋_GB2312"/>
          <w:sz w:val="32"/>
          <w:szCs w:val="32"/>
          <w:lang w:val="en-US" w:eastAsia="zh-CN"/>
        </w:rPr>
        <w:t>三十二</w:t>
      </w:r>
      <w:r>
        <w:rPr>
          <w:rFonts w:hint="eastAsia" w:ascii="仿宋_GB2312" w:hAnsi="仿宋" w:eastAsia="仿宋_GB2312"/>
          <w:sz w:val="32"/>
          <w:szCs w:val="32"/>
        </w:rPr>
        <w:t>条、《河北省市场监督管理行政处罚裁量权适用规则》《河北省市场监督管理行政处罚裁量基准》和相关法律、法规的明确规定行使自由裁量权。截至目前共立案</w:t>
      </w:r>
      <w:r>
        <w:rPr>
          <w:rFonts w:hint="eastAsia" w:ascii="仿宋_GB2312" w:hAnsi="仿宋" w:eastAsia="仿宋_GB2312"/>
          <w:sz w:val="32"/>
          <w:szCs w:val="32"/>
          <w:lang w:val="en-US" w:eastAsia="zh-CN"/>
        </w:rPr>
        <w:t>40</w:t>
      </w:r>
      <w:r>
        <w:rPr>
          <w:rFonts w:hint="eastAsia" w:ascii="仿宋_GB2312" w:hAnsi="仿宋" w:eastAsia="仿宋_GB2312"/>
          <w:sz w:val="32"/>
          <w:szCs w:val="32"/>
        </w:rPr>
        <w:t>件，结案2</w:t>
      </w:r>
      <w:r>
        <w:rPr>
          <w:rFonts w:hint="eastAsia" w:ascii="仿宋_GB2312" w:hAnsi="仿宋" w:eastAsia="仿宋_GB2312"/>
          <w:sz w:val="32"/>
          <w:szCs w:val="32"/>
          <w:lang w:val="en-US" w:eastAsia="zh-CN"/>
        </w:rPr>
        <w:t>8</w:t>
      </w:r>
      <w:r>
        <w:rPr>
          <w:rFonts w:hint="eastAsia" w:ascii="仿宋_GB2312" w:hAnsi="仿宋" w:eastAsia="仿宋_GB2312"/>
          <w:sz w:val="32"/>
          <w:szCs w:val="32"/>
        </w:rPr>
        <w:t>件，均为普通程序处罚案件。。</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sz w:val="32"/>
          <w:szCs w:val="32"/>
        </w:rPr>
      </w:pPr>
      <w:r>
        <w:rPr>
          <w:rFonts w:hint="eastAsia" w:ascii="仿宋_GB2312" w:hAnsi="仿宋" w:eastAsia="仿宋_GB2312"/>
          <w:sz w:val="32"/>
          <w:szCs w:val="32"/>
        </w:rPr>
        <w:t>2、强化价格监管。一是对区内商超、药店、1个旅游景点等场所执行价格行为进行不定期巡查，累计出动检查人数150人次，发放价格提醒告诫书100余份，有效维护了全区市场价格秩序；二是对中央储备粮承德直属库有限公司、承德三岔口国家粮食储备有限公司、承德滦河粮食储备有限公司3家粮库以及设有太平间的2家医疗机构进行了检查，目前未发现价格违法行为。</w:t>
      </w:r>
    </w:p>
    <w:p>
      <w:pPr>
        <w:keepNext w:val="0"/>
        <w:keepLines w:val="0"/>
        <w:pageBreakBefore w:val="0"/>
        <w:kinsoku/>
        <w:overflowPunct/>
        <w:topLinePunct w:val="0"/>
        <w:autoSpaceDE/>
        <w:autoSpaceDN/>
        <w:bidi w:val="0"/>
        <w:spacing w:after="0" w:line="360" w:lineRule="auto"/>
        <w:ind w:firstLine="703"/>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强化公平竞争审查制度。按照《公平竞争审查制度实施细则》（国市监反垄规[2021]2号）相关要求，坚持“谁制定、谁清理”的原则，对本部门出台的涉及市场主体经济活动的政策措施进行全面摸底自查并进行公平竞争审查，梳理可能需要清理废除的政策措施清单。截至目前,我区目前共有联席会议成员单位21家，印发文件1件(双竞审办〔2022)1号)，共审查文件数0件，废止文件0件。</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不执行国家定价、取消收费工作情况。为进一步规范涉企收费行为，切实减轻企业负担，根据《承德市市场监督管理局关于开展全市涉企违规收费专项治理的实施方案》的文件要求，结合局内工作安排，联合区财政局完成此项检查。截至目前，共减征减免1项(城市基础配套设施费)，免征收费1项(城市道路占用费)，未发现违规收费行为。</w:t>
      </w:r>
    </w:p>
    <w:p>
      <w:pPr>
        <w:keepNext w:val="0"/>
        <w:keepLines w:val="0"/>
        <w:pageBreakBefore w:val="0"/>
        <w:widowControl/>
        <w:kinsoku/>
        <w:wordWrap/>
        <w:overflowPunct/>
        <w:topLinePunct w:val="0"/>
        <w:autoSpaceDE/>
        <w:autoSpaceDN/>
        <w:bidi w:val="0"/>
        <w:adjustRightInd/>
        <w:snapToGrid/>
        <w:spacing w:line="360" w:lineRule="auto"/>
        <w:ind w:firstLine="641"/>
        <w:textAlignment w:val="auto"/>
        <w:rPr>
          <w:rFonts w:hint="eastAsia" w:ascii="仿宋_GB2312" w:hAnsi="仿宋" w:eastAsia="仿宋_GB2312" w:cs="仿宋"/>
          <w:sz w:val="32"/>
          <w:szCs w:val="32"/>
          <w:lang w:val="en-US" w:eastAsia="zh-CN" w:bidi="ar-SA"/>
        </w:rPr>
      </w:pPr>
      <w:r>
        <w:rPr>
          <w:rFonts w:hint="eastAsia" w:ascii="仿宋_GB2312" w:hAnsi="仿宋" w:eastAsia="仿宋_GB2312"/>
          <w:sz w:val="32"/>
          <w:szCs w:val="32"/>
          <w:lang w:val="en-US" w:eastAsia="zh-CN"/>
        </w:rPr>
        <w:t>5</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bidi="ar-SA"/>
        </w:rPr>
        <w:t>“双随机、一公开”监管 工作：各成员单位进行内部执法资源整合，显著提升了监管效能，缓解了监管对象与监管力量之间的突出矛盾，减轻了市场主体负担，强化了市场主体自律和社会监督，取得了预期效果；为推进我区跨部门“双随机、一公开”联合抽查工作的有效开展，依据有关部门的监管职责以及监管重点、风险点、行业领域等，本着统一计划组织、主管部门牵头、相关部门参与、确保全面覆盖的原则，建立健全部门联合抽查工作机制，确保市场监管领域主要监管部门联合“双随机、一公开”监管全覆盖、常态化。全区监管部门开展内部随机抽查累计10次，抽查户数累计达52户次；我区今年已开展“双随机、一公开”跨部门联合抽查4次，抽查户数累计达19户次。</w:t>
      </w:r>
    </w:p>
    <w:p>
      <w:pPr>
        <w:pStyle w:val="3"/>
        <w:keepNext w:val="0"/>
        <w:keepLines w:val="0"/>
        <w:pageBreakBefore w:val="0"/>
        <w:kinsoku/>
        <w:overflowPunct/>
        <w:topLinePunct w:val="0"/>
        <w:autoSpaceDE/>
        <w:autoSpaceDN/>
        <w:bidi w:val="0"/>
        <w:spacing w:line="360" w:lineRule="auto"/>
        <w:jc w:val="left"/>
        <w:textAlignment w:val="auto"/>
        <w:rPr>
          <w:rFonts w:hint="default" w:eastAsia="仿宋_GB2312"/>
          <w:lang w:val="en-US" w:eastAsia="zh-CN"/>
        </w:rPr>
      </w:pPr>
      <w:r>
        <w:rPr>
          <w:rFonts w:hint="eastAsia" w:ascii="仿宋_GB2312" w:hAnsi="仿宋" w:eastAsia="仿宋_GB2312" w:cs="仿宋"/>
          <w:sz w:val="32"/>
          <w:szCs w:val="32"/>
          <w:lang w:val="en-US" w:eastAsia="zh-CN"/>
        </w:rPr>
        <w:t xml:space="preserve">    6、严格执行</w:t>
      </w:r>
      <w:r>
        <w:rPr>
          <w:rFonts w:hint="eastAsia" w:ascii="仿宋_GB2312" w:eastAsia="仿宋_GB2312"/>
          <w:sz w:val="32"/>
          <w:szCs w:val="32"/>
        </w:rPr>
        <w:t>市局下发</w:t>
      </w:r>
      <w:r>
        <w:rPr>
          <w:rFonts w:hint="eastAsia" w:ascii="仿宋_GB2312" w:eastAsia="仿宋_GB2312"/>
          <w:sz w:val="32"/>
          <w:szCs w:val="32"/>
          <w:lang w:val="en-US" w:eastAsia="zh-CN"/>
        </w:rPr>
        <w:t>的</w:t>
      </w:r>
      <w:r>
        <w:rPr>
          <w:rFonts w:hint="eastAsia" w:ascii="仿宋_GB2312" w:eastAsia="仿宋_GB2312"/>
          <w:sz w:val="32"/>
          <w:szCs w:val="32"/>
        </w:rPr>
        <w:t>《对市场主体实施包容审慎监管实行“首违不罚”的指导意见》。</w:t>
      </w:r>
      <w:r>
        <w:rPr>
          <w:rFonts w:hint="eastAsia" w:ascii="仿宋_GB2312" w:eastAsia="仿宋_GB2312"/>
          <w:sz w:val="32"/>
          <w:szCs w:val="32"/>
          <w:lang w:val="en-US" w:eastAsia="zh-CN"/>
        </w:rPr>
        <w:t>按照市局下发的《首违不罚清单及从轻减轻处罚清单》，区别违法不同情况加以处理，坚持过罚相当，对市场主体的非主管故意、轻微且没有造成明显危害后果的首次违法行为建立容错机制，按照教育为主，惩罚为辅的原则，帮助企业规范提升。</w:t>
      </w:r>
    </w:p>
    <w:p>
      <w:pPr>
        <w:keepNext w:val="0"/>
        <w:keepLines w:val="0"/>
        <w:pageBreakBefore w:val="0"/>
        <w:numPr>
          <w:ilvl w:val="0"/>
          <w:numId w:val="0"/>
        </w:numPr>
        <w:kinsoku/>
        <w:overflowPunct/>
        <w:topLinePunct w:val="0"/>
        <w:autoSpaceDE/>
        <w:autoSpaceDN/>
        <w:bidi w:val="0"/>
        <w:spacing w:line="360" w:lineRule="auto"/>
        <w:ind w:left="640" w:leftChars="0"/>
        <w:textAlignment w:val="auto"/>
        <w:rPr>
          <w:rFonts w:ascii="仿宋" w:hAnsi="仿宋" w:eastAsia="仿宋"/>
          <w:b/>
          <w:bCs/>
          <w:sz w:val="32"/>
          <w:szCs w:val="32"/>
        </w:rPr>
      </w:pPr>
      <w:r>
        <w:rPr>
          <w:rFonts w:hint="eastAsia" w:ascii="仿宋_GB2312" w:hAnsi="仿宋" w:eastAsia="仿宋_GB2312" w:cs="仿宋"/>
          <w:b/>
          <w:bCs/>
          <w:sz w:val="32"/>
          <w:szCs w:val="32"/>
          <w:lang w:val="en-US" w:eastAsia="zh-CN"/>
        </w:rPr>
        <w:t>三、</w:t>
      </w:r>
      <w:r>
        <w:rPr>
          <w:rFonts w:hint="eastAsia" w:ascii="仿宋" w:hAnsi="仿宋" w:eastAsia="仿宋" w:cs="仿宋"/>
          <w:b/>
          <w:bCs/>
          <w:sz w:val="32"/>
          <w:szCs w:val="32"/>
        </w:rPr>
        <w:t>外聘法律顾问</w:t>
      </w:r>
    </w:p>
    <w:p>
      <w:pPr>
        <w:keepNext w:val="0"/>
        <w:keepLines w:val="0"/>
        <w:pageBreakBefore w:val="0"/>
        <w:kinsoku/>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Arial"/>
          <w:sz w:val="32"/>
          <w:szCs w:val="32"/>
          <w:shd w:val="clear" w:color="auto" w:fill="FFFFFF"/>
        </w:rPr>
        <w:t>我局外聘的法律顾问为重大决策、重大行政行为提供法律意见；参与法律法规规章草案、规范性文件送审稿的起草、论证；参与合作项目的洽谈，协助起草、修改重要的法律文书或者以行政机关为一方当事人的重大合同；为处置涉法涉诉案件、信访案件和重大突发事件等提供法律服务；参与处理行政复议、诉讼、仲裁等法律事务等工作。我局在讨论、决定重大事项之前听取法律顾问、公职律师意见；</w:t>
      </w:r>
      <w:r>
        <w:rPr>
          <w:rFonts w:hint="eastAsia" w:ascii="仿宋" w:hAnsi="仿宋" w:eastAsia="仿宋" w:cs="仿宋"/>
          <w:sz w:val="32"/>
          <w:szCs w:val="32"/>
        </w:rPr>
        <w:t>并配合法律顾问准备我局诉讼案件答辩状等相关材料。</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四、建立学法制度，加强法治宣传</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1、领导带头学法</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Arial"/>
          <w:sz w:val="32"/>
          <w:szCs w:val="32"/>
          <w:shd w:val="clear" w:color="auto" w:fill="FFFFFF"/>
          <w:lang w:val="en-US" w:eastAsia="zh-CN" w:bidi="ar-SA"/>
        </w:rPr>
      </w:pPr>
      <w:r>
        <w:rPr>
          <w:rFonts w:hint="eastAsia" w:ascii="仿宋" w:hAnsi="仿宋" w:eastAsia="仿宋" w:cs="Arial"/>
          <w:sz w:val="32"/>
          <w:szCs w:val="32"/>
          <w:shd w:val="clear" w:color="auto" w:fill="FFFFFF"/>
          <w:lang w:val="en-US" w:eastAsia="zh-CN" w:bidi="ar-SA"/>
        </w:rPr>
        <w:t>我局逐步健全完善国家机关党组（党委）理论学习中心组学法制度，坚持领导干部带头尊法学法守法用法。健全完善日常学法制度，推进国家工作人员学法经常化。加强对国家工作人员的法治培训，把宪法法律和党内法规作为重要内容，建立新颁布的国家法律和党内法规学习培训制度，不断提高培训质量。加强对国家工作人员学法用法的考试考核，完善评估机制。大力开展“法律进机关”、机关法治文化建设等活动，营造良好的机关学法氛围。我局以集中培训（大讲堂）为主、外出学习为辅，突出业务培训，专项行动带动培训，在各种专项行动中让经验丰富的老同志带动新人熟悉工作流程，在实践中答疑解惑，让大家在互动中学会主动解决问题，更好掌握知识，增强全局凝聚力。</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Arial"/>
          <w:sz w:val="32"/>
          <w:szCs w:val="32"/>
          <w:shd w:val="clear" w:color="auto" w:fill="FFFFFF"/>
          <w:lang w:val="en-US" w:eastAsia="zh-CN" w:bidi="ar-SA"/>
        </w:rPr>
      </w:pPr>
      <w:r>
        <w:rPr>
          <w:rFonts w:hint="eastAsia" w:ascii="仿宋" w:hAnsi="仿宋" w:eastAsia="仿宋" w:cs="Arial"/>
          <w:sz w:val="32"/>
          <w:szCs w:val="32"/>
          <w:shd w:val="clear" w:color="auto" w:fill="FFFFFF"/>
          <w:lang w:val="en-US" w:eastAsia="zh-CN" w:bidi="ar-SA"/>
        </w:rPr>
        <w:t>2、加强执法人员法律法规培训。</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组织全体执法人员集中学法，学习了《行政处罚法》并每人提交心得体会。四月底到五月初法规股牵头，分5次为18个股室、分局在执法岗的50名执法人员进行执法培训，培训内容包括新《行政处罚法》、《市场监督管理行政处罚程序规定》、《食品安全法》、《价格法》、新版执法文书的使用等。并强调执法文书规范使用的重要性。同时，每个工作日在微信工作群中上传执法文书指南，方便执法人员交流学习。</w:t>
      </w:r>
    </w:p>
    <w:p>
      <w:pPr>
        <w:pStyle w:val="2"/>
        <w:keepNext w:val="0"/>
        <w:keepLines w:val="0"/>
        <w:pageBreakBefore w:val="0"/>
        <w:kinsoku/>
        <w:overflowPunct/>
        <w:topLinePunct w:val="0"/>
        <w:autoSpaceDE/>
        <w:autoSpaceDN/>
        <w:bidi w:val="0"/>
        <w:spacing w:line="360" w:lineRule="auto"/>
        <w:ind w:firstLine="7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充分利用315消费者权益保护日、世界知识产权日、食品安全周、“12.4”法制宣传日等时机，通过挂横幅、出动宣传车、散发宣传材料等多种形式开展法制宣传活动，并围绕不同主题，在执法中普法，活动安排到各股、室、分局，形成分工合作，责任到人。在2022年4月26日第22个知识产权日，双滦区知识产权局联合双滦区人民检察院共同开展以“全面开启知识产权强国建设新征程”为主题的知识产权宣传周活动。推行在执法中普法，在日常监督检查中开展普法活动2次，宣传了《食品安全法》及特种设备相关法律知识。</w:t>
      </w:r>
    </w:p>
    <w:p>
      <w:pPr>
        <w:pStyle w:val="11"/>
        <w:keepNext w:val="0"/>
        <w:keepLines w:val="0"/>
        <w:pageBreakBefore w:val="0"/>
        <w:kinsoku/>
        <w:overflowPunct/>
        <w:topLinePunct w:val="0"/>
        <w:autoSpaceDE/>
        <w:autoSpaceDN/>
        <w:bidi w:val="0"/>
        <w:spacing w:line="360" w:lineRule="auto"/>
        <w:ind w:firstLine="64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存在问题</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一是执法装备和车辆老化不足，需要补充；二是市场监管涉及范围广、市场主体多且覆盖面大，基层人员45岁以上占比52%，且在市场监管排查工作中工作人员数量与实际工作量比例不对等，急需增加年轻人员。    </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法治政府建设是一项长期工作，我局将在区政府的正确领导下，不断推进监督管理科学化、权力运行公开化、责任落实网格化、队伍建设专业化、进一步提升市场监管能力，</w:t>
      </w:r>
      <w:r>
        <w:rPr>
          <w:rFonts w:hint="eastAsia" w:ascii="仿宋" w:hAnsi="仿宋" w:eastAsia="仿宋"/>
          <w:color w:val="000000"/>
          <w:sz w:val="32"/>
          <w:szCs w:val="32"/>
        </w:rPr>
        <w:t>努力全面提升我局行政执法水平</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切实保障人民群众消费安全。</w:t>
      </w:r>
    </w:p>
    <w:p>
      <w:pPr>
        <w:pStyle w:val="11"/>
        <w:keepNext w:val="0"/>
        <w:keepLines w:val="0"/>
        <w:pageBreakBefore w:val="0"/>
        <w:kinsoku/>
        <w:overflowPunct/>
        <w:topLinePunct w:val="0"/>
        <w:autoSpaceDE/>
        <w:autoSpaceDN/>
        <w:bidi w:val="0"/>
        <w:spacing w:line="360" w:lineRule="auto"/>
        <w:ind w:firstLine="640"/>
        <w:textAlignment w:val="auto"/>
        <w:rPr>
          <w:rFonts w:ascii="仿宋_GB2312" w:hAnsi="仿宋" w:eastAsia="仿宋_GB2312"/>
          <w:sz w:val="32"/>
          <w:szCs w:val="32"/>
        </w:rPr>
      </w:pPr>
      <w:bookmarkStart w:id="0" w:name="_GoBack"/>
      <w:bookmarkEnd w:id="0"/>
    </w:p>
    <w:sectPr>
      <w:footerReference r:id="rId5" w:type="default"/>
      <w:pgSz w:w="11906" w:h="16838"/>
      <w:pgMar w:top="1418" w:right="1418" w:bottom="1418"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2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jdiNTQzMzg1MGM3YWRlNjU5NGY0MGVkYjdkNDIifQ=="/>
  </w:docVars>
  <w:rsids>
    <w:rsidRoot w:val="00D31D50"/>
    <w:rsid w:val="00012569"/>
    <w:rsid w:val="00020E69"/>
    <w:rsid w:val="00034C16"/>
    <w:rsid w:val="00044F46"/>
    <w:rsid w:val="0009009E"/>
    <w:rsid w:val="000A31B0"/>
    <w:rsid w:val="000A389D"/>
    <w:rsid w:val="000A7552"/>
    <w:rsid w:val="000C0CC2"/>
    <w:rsid w:val="000D138A"/>
    <w:rsid w:val="000F09DF"/>
    <w:rsid w:val="00111976"/>
    <w:rsid w:val="0011699A"/>
    <w:rsid w:val="0016175E"/>
    <w:rsid w:val="00163C1C"/>
    <w:rsid w:val="00185C59"/>
    <w:rsid w:val="001B09A6"/>
    <w:rsid w:val="001B1F9B"/>
    <w:rsid w:val="001C16B2"/>
    <w:rsid w:val="001F68B9"/>
    <w:rsid w:val="002121E4"/>
    <w:rsid w:val="00233E9A"/>
    <w:rsid w:val="00243656"/>
    <w:rsid w:val="002454C8"/>
    <w:rsid w:val="002608D5"/>
    <w:rsid w:val="002623CF"/>
    <w:rsid w:val="0026544A"/>
    <w:rsid w:val="0027339B"/>
    <w:rsid w:val="00275C60"/>
    <w:rsid w:val="00277E14"/>
    <w:rsid w:val="0028448E"/>
    <w:rsid w:val="00286416"/>
    <w:rsid w:val="002912F1"/>
    <w:rsid w:val="002E2ECE"/>
    <w:rsid w:val="002E32CC"/>
    <w:rsid w:val="002E38AF"/>
    <w:rsid w:val="002E604C"/>
    <w:rsid w:val="00314F74"/>
    <w:rsid w:val="00323B43"/>
    <w:rsid w:val="00332A29"/>
    <w:rsid w:val="00340C47"/>
    <w:rsid w:val="00341614"/>
    <w:rsid w:val="00344668"/>
    <w:rsid w:val="00355501"/>
    <w:rsid w:val="00366CA1"/>
    <w:rsid w:val="00372CB8"/>
    <w:rsid w:val="0039620B"/>
    <w:rsid w:val="00397078"/>
    <w:rsid w:val="003A2692"/>
    <w:rsid w:val="003A6714"/>
    <w:rsid w:val="003B6529"/>
    <w:rsid w:val="003D11BA"/>
    <w:rsid w:val="003D37D8"/>
    <w:rsid w:val="003D5AA2"/>
    <w:rsid w:val="003F017C"/>
    <w:rsid w:val="00426133"/>
    <w:rsid w:val="004358AB"/>
    <w:rsid w:val="004377D3"/>
    <w:rsid w:val="004672F6"/>
    <w:rsid w:val="0048349F"/>
    <w:rsid w:val="0049547B"/>
    <w:rsid w:val="00497929"/>
    <w:rsid w:val="004C5CBE"/>
    <w:rsid w:val="004D4E41"/>
    <w:rsid w:val="004E6FB2"/>
    <w:rsid w:val="004F312F"/>
    <w:rsid w:val="004F4FBC"/>
    <w:rsid w:val="0050052F"/>
    <w:rsid w:val="00505783"/>
    <w:rsid w:val="005070FC"/>
    <w:rsid w:val="00571541"/>
    <w:rsid w:val="00573904"/>
    <w:rsid w:val="00583A2C"/>
    <w:rsid w:val="005B2313"/>
    <w:rsid w:val="005D7910"/>
    <w:rsid w:val="005F4457"/>
    <w:rsid w:val="006003AC"/>
    <w:rsid w:val="0060759B"/>
    <w:rsid w:val="00615876"/>
    <w:rsid w:val="00630996"/>
    <w:rsid w:val="006678F4"/>
    <w:rsid w:val="006711DD"/>
    <w:rsid w:val="00672EEA"/>
    <w:rsid w:val="00694C57"/>
    <w:rsid w:val="006A180F"/>
    <w:rsid w:val="006A4FCE"/>
    <w:rsid w:val="006A564B"/>
    <w:rsid w:val="006D5660"/>
    <w:rsid w:val="00716FD3"/>
    <w:rsid w:val="00732CDC"/>
    <w:rsid w:val="0073500F"/>
    <w:rsid w:val="007377E4"/>
    <w:rsid w:val="00741581"/>
    <w:rsid w:val="00750045"/>
    <w:rsid w:val="00755C15"/>
    <w:rsid w:val="007635DD"/>
    <w:rsid w:val="007705CD"/>
    <w:rsid w:val="00771379"/>
    <w:rsid w:val="007860DC"/>
    <w:rsid w:val="007A2168"/>
    <w:rsid w:val="007B7F34"/>
    <w:rsid w:val="007F4401"/>
    <w:rsid w:val="007F7C3E"/>
    <w:rsid w:val="00813F1D"/>
    <w:rsid w:val="00815C0F"/>
    <w:rsid w:val="008277F6"/>
    <w:rsid w:val="00831425"/>
    <w:rsid w:val="00841FC3"/>
    <w:rsid w:val="00854389"/>
    <w:rsid w:val="00887F0F"/>
    <w:rsid w:val="00893434"/>
    <w:rsid w:val="008B3FBB"/>
    <w:rsid w:val="008B6F78"/>
    <w:rsid w:val="008B7726"/>
    <w:rsid w:val="008D11E3"/>
    <w:rsid w:val="008F127E"/>
    <w:rsid w:val="00936C41"/>
    <w:rsid w:val="00953F15"/>
    <w:rsid w:val="00973AA5"/>
    <w:rsid w:val="009774B8"/>
    <w:rsid w:val="00993C1F"/>
    <w:rsid w:val="009C7C03"/>
    <w:rsid w:val="009E72DC"/>
    <w:rsid w:val="009F2A20"/>
    <w:rsid w:val="00A02C38"/>
    <w:rsid w:val="00A41449"/>
    <w:rsid w:val="00A44565"/>
    <w:rsid w:val="00A74BB0"/>
    <w:rsid w:val="00A7709B"/>
    <w:rsid w:val="00A779D1"/>
    <w:rsid w:val="00A8315A"/>
    <w:rsid w:val="00A842B6"/>
    <w:rsid w:val="00A85CE3"/>
    <w:rsid w:val="00A91899"/>
    <w:rsid w:val="00AD192E"/>
    <w:rsid w:val="00AE3D77"/>
    <w:rsid w:val="00B07E08"/>
    <w:rsid w:val="00B10482"/>
    <w:rsid w:val="00B10F24"/>
    <w:rsid w:val="00B218AE"/>
    <w:rsid w:val="00B243C9"/>
    <w:rsid w:val="00B44919"/>
    <w:rsid w:val="00B45B39"/>
    <w:rsid w:val="00B502CF"/>
    <w:rsid w:val="00B6135C"/>
    <w:rsid w:val="00B671F1"/>
    <w:rsid w:val="00B74581"/>
    <w:rsid w:val="00B8195E"/>
    <w:rsid w:val="00B909F1"/>
    <w:rsid w:val="00C310E9"/>
    <w:rsid w:val="00C7546B"/>
    <w:rsid w:val="00C76748"/>
    <w:rsid w:val="00C94661"/>
    <w:rsid w:val="00C96D42"/>
    <w:rsid w:val="00CA5517"/>
    <w:rsid w:val="00CB64B7"/>
    <w:rsid w:val="00CD617C"/>
    <w:rsid w:val="00D165BE"/>
    <w:rsid w:val="00D20477"/>
    <w:rsid w:val="00D31D50"/>
    <w:rsid w:val="00D406E5"/>
    <w:rsid w:val="00D440E0"/>
    <w:rsid w:val="00D57DD9"/>
    <w:rsid w:val="00D62440"/>
    <w:rsid w:val="00D62BE5"/>
    <w:rsid w:val="00D71B22"/>
    <w:rsid w:val="00DD2A48"/>
    <w:rsid w:val="00DD7471"/>
    <w:rsid w:val="00DF1200"/>
    <w:rsid w:val="00DF658E"/>
    <w:rsid w:val="00E13C4F"/>
    <w:rsid w:val="00E310D9"/>
    <w:rsid w:val="00E434DC"/>
    <w:rsid w:val="00E600A8"/>
    <w:rsid w:val="00E72910"/>
    <w:rsid w:val="00EC643B"/>
    <w:rsid w:val="00ED0583"/>
    <w:rsid w:val="00ED1C35"/>
    <w:rsid w:val="00EE799A"/>
    <w:rsid w:val="00F0618A"/>
    <w:rsid w:val="00F27AF2"/>
    <w:rsid w:val="00F33C9E"/>
    <w:rsid w:val="00F545DE"/>
    <w:rsid w:val="00F65843"/>
    <w:rsid w:val="00F8471D"/>
    <w:rsid w:val="00FA3D07"/>
    <w:rsid w:val="00FA6835"/>
    <w:rsid w:val="00FC2410"/>
    <w:rsid w:val="00FE5ED5"/>
    <w:rsid w:val="00FE6B13"/>
    <w:rsid w:val="00FE7BAA"/>
    <w:rsid w:val="014706F3"/>
    <w:rsid w:val="025D045A"/>
    <w:rsid w:val="181D1DF8"/>
    <w:rsid w:val="2CBE2BA5"/>
    <w:rsid w:val="2F5816CA"/>
    <w:rsid w:val="439E3EFC"/>
    <w:rsid w:val="54640C31"/>
    <w:rsid w:val="73BA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12">
    <w:name w:val="NormalCharacter"/>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3619</Words>
  <Characters>3721</Characters>
  <Lines>27</Lines>
  <Paragraphs>7</Paragraphs>
  <TotalTime>11</TotalTime>
  <ScaleCrop>false</ScaleCrop>
  <LinksUpToDate>false</LinksUpToDate>
  <CharactersWithSpaces>3734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2022-06-09T01:32:00Z</dcterms:created>
  <dc:creator>Administrator</dc:creator>
  <cp:lastModifiedBy>Administrator</cp:lastModifiedBy>
  <cp:lastPrinted>2021-05-28T03:28:00Z</cp:lastPrinted>
  <dcterms:modified xsi:type="dcterms:W3CDTF">2023-11-01T01:08:00Z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A61A076C9D044622B5AB22CD94273A01</vt:lpwstr>
  </property>
</Properties>
</file>