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20" w:name="_GoBack"/>
      <w:bookmarkEnd w:id="20"/>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437承德市双滦区信访局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364.76</w:t>
            </w:r>
          </w:p>
        </w:tc>
        <w:tc>
          <w:tcPr>
            <w:tcW w:w="4535" w:type="dxa"/>
            <w:vAlign w:val="center"/>
          </w:tcPr>
          <w:p>
            <w:pPr>
              <w:pStyle w:val="13"/>
            </w:pPr>
            <w:r>
              <w:t>一、一般公共服务支出</w:t>
            </w:r>
          </w:p>
        </w:tc>
        <w:tc>
          <w:tcPr>
            <w:tcW w:w="2126" w:type="dxa"/>
            <w:vAlign w:val="center"/>
          </w:tcPr>
          <w:p>
            <w:pPr>
              <w:pStyle w:val="12"/>
            </w:pPr>
            <w:r>
              <w:t>315.55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27.60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364.76</w:t>
            </w:r>
          </w:p>
        </w:tc>
        <w:tc>
          <w:tcPr>
            <w:tcW w:w="4535" w:type="dxa"/>
            <w:vAlign w:val="center"/>
          </w:tcPr>
          <w:p>
            <w:pPr>
              <w:pStyle w:val="15"/>
            </w:pPr>
            <w:r>
              <w:t>本年支出合计</w:t>
            </w:r>
          </w:p>
        </w:tc>
        <w:tc>
          <w:tcPr>
            <w:tcW w:w="2126" w:type="dxa"/>
            <w:vAlign w:val="center"/>
          </w:tcPr>
          <w:p>
            <w:pPr>
              <w:pStyle w:val="16"/>
            </w:pPr>
            <w:r>
              <w:t>364.76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364.76</w:t>
            </w:r>
          </w:p>
        </w:tc>
        <w:tc>
          <w:tcPr>
            <w:tcW w:w="4535" w:type="dxa"/>
            <w:vAlign w:val="center"/>
          </w:tcPr>
          <w:p>
            <w:pPr>
              <w:pStyle w:val="15"/>
            </w:pPr>
            <w:r>
              <w:t>支出总计</w:t>
            </w:r>
          </w:p>
        </w:tc>
        <w:tc>
          <w:tcPr>
            <w:tcW w:w="2126" w:type="dxa"/>
            <w:vAlign w:val="center"/>
          </w:tcPr>
          <w:p>
            <w:pPr>
              <w:pStyle w:val="16"/>
            </w:pPr>
            <w:r>
              <w:t>364.76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437承德市双滦区信访局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364.76</w:t>
            </w:r>
          </w:p>
        </w:tc>
        <w:tc>
          <w:tcPr>
            <w:tcW w:w="1134" w:type="dxa"/>
            <w:vAlign w:val="center"/>
          </w:tcPr>
          <w:p>
            <w:pPr>
              <w:pStyle w:val="16"/>
            </w:pPr>
            <w:r>
              <w:t>364.76</w:t>
            </w:r>
          </w:p>
        </w:tc>
        <w:tc>
          <w:tcPr>
            <w:tcW w:w="1134" w:type="dxa"/>
            <w:vAlign w:val="center"/>
          </w:tcPr>
          <w:p>
            <w:pPr>
              <w:pStyle w:val="16"/>
            </w:pPr>
            <w:r>
              <w:t>364.76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315.55</w:t>
            </w:r>
          </w:p>
        </w:tc>
        <w:tc>
          <w:tcPr>
            <w:tcW w:w="1134" w:type="dxa"/>
            <w:vAlign w:val="center"/>
          </w:tcPr>
          <w:p>
            <w:pPr>
              <w:pStyle w:val="12"/>
            </w:pPr>
            <w:r>
              <w:t>315.55</w:t>
            </w:r>
          </w:p>
        </w:tc>
        <w:tc>
          <w:tcPr>
            <w:tcW w:w="1134" w:type="dxa"/>
            <w:vAlign w:val="center"/>
          </w:tcPr>
          <w:p>
            <w:pPr>
              <w:pStyle w:val="12"/>
            </w:pPr>
            <w:r>
              <w:t>315.55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20140</w:t>
            </w:r>
          </w:p>
        </w:tc>
        <w:tc>
          <w:tcPr>
            <w:tcW w:w="1559" w:type="dxa"/>
            <w:vAlign w:val="center"/>
          </w:tcPr>
          <w:p>
            <w:pPr>
              <w:pStyle w:val="13"/>
            </w:pPr>
            <w:r>
              <w:t>信访事务</w:t>
            </w:r>
          </w:p>
        </w:tc>
        <w:tc>
          <w:tcPr>
            <w:tcW w:w="1134" w:type="dxa"/>
            <w:vAlign w:val="center"/>
          </w:tcPr>
          <w:p>
            <w:pPr>
              <w:pStyle w:val="12"/>
            </w:pPr>
            <w:r>
              <w:t>315.55</w:t>
            </w:r>
          </w:p>
        </w:tc>
        <w:tc>
          <w:tcPr>
            <w:tcW w:w="1134" w:type="dxa"/>
            <w:vAlign w:val="center"/>
          </w:tcPr>
          <w:p>
            <w:pPr>
              <w:pStyle w:val="12"/>
            </w:pPr>
            <w:r>
              <w:t>315.55</w:t>
            </w:r>
          </w:p>
        </w:tc>
        <w:tc>
          <w:tcPr>
            <w:tcW w:w="1134" w:type="dxa"/>
            <w:vAlign w:val="center"/>
          </w:tcPr>
          <w:p>
            <w:pPr>
              <w:pStyle w:val="12"/>
            </w:pPr>
            <w:r>
              <w:t>315.55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2014001</w:t>
            </w:r>
          </w:p>
        </w:tc>
        <w:tc>
          <w:tcPr>
            <w:tcW w:w="1559" w:type="dxa"/>
            <w:vAlign w:val="center"/>
          </w:tcPr>
          <w:p>
            <w:pPr>
              <w:pStyle w:val="13"/>
            </w:pPr>
            <w:r>
              <w:t>行政运行</w:t>
            </w:r>
          </w:p>
        </w:tc>
        <w:tc>
          <w:tcPr>
            <w:tcW w:w="1134" w:type="dxa"/>
            <w:vAlign w:val="center"/>
          </w:tcPr>
          <w:p>
            <w:pPr>
              <w:pStyle w:val="12"/>
            </w:pPr>
            <w:r>
              <w:t>146.55</w:t>
            </w:r>
          </w:p>
        </w:tc>
        <w:tc>
          <w:tcPr>
            <w:tcW w:w="1134" w:type="dxa"/>
            <w:vAlign w:val="center"/>
          </w:tcPr>
          <w:p>
            <w:pPr>
              <w:pStyle w:val="12"/>
            </w:pPr>
            <w:r>
              <w:t>146.55</w:t>
            </w:r>
          </w:p>
        </w:tc>
        <w:tc>
          <w:tcPr>
            <w:tcW w:w="1134" w:type="dxa"/>
            <w:vAlign w:val="center"/>
          </w:tcPr>
          <w:p>
            <w:pPr>
              <w:pStyle w:val="12"/>
            </w:pPr>
            <w:r>
              <w:t>146.55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2014099</w:t>
            </w:r>
          </w:p>
        </w:tc>
        <w:tc>
          <w:tcPr>
            <w:tcW w:w="1559" w:type="dxa"/>
            <w:vAlign w:val="center"/>
          </w:tcPr>
          <w:p>
            <w:pPr>
              <w:pStyle w:val="13"/>
            </w:pPr>
            <w:r>
              <w:t>其他信访事务支出</w:t>
            </w:r>
          </w:p>
        </w:tc>
        <w:tc>
          <w:tcPr>
            <w:tcW w:w="1134" w:type="dxa"/>
            <w:vAlign w:val="center"/>
          </w:tcPr>
          <w:p>
            <w:pPr>
              <w:pStyle w:val="12"/>
            </w:pPr>
            <w:r>
              <w:t>169.00</w:t>
            </w:r>
          </w:p>
        </w:tc>
        <w:tc>
          <w:tcPr>
            <w:tcW w:w="1134" w:type="dxa"/>
            <w:vAlign w:val="center"/>
          </w:tcPr>
          <w:p>
            <w:pPr>
              <w:pStyle w:val="12"/>
            </w:pPr>
            <w:r>
              <w:t>169.00</w:t>
            </w:r>
          </w:p>
        </w:tc>
        <w:tc>
          <w:tcPr>
            <w:tcW w:w="1134" w:type="dxa"/>
            <w:vAlign w:val="center"/>
          </w:tcPr>
          <w:p>
            <w:pPr>
              <w:pStyle w:val="12"/>
            </w:pPr>
            <w:r>
              <w:t>169.00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27.60</w:t>
            </w:r>
          </w:p>
        </w:tc>
        <w:tc>
          <w:tcPr>
            <w:tcW w:w="1134" w:type="dxa"/>
            <w:vAlign w:val="center"/>
          </w:tcPr>
          <w:p>
            <w:pPr>
              <w:pStyle w:val="12"/>
            </w:pPr>
            <w:r>
              <w:t>27.60</w:t>
            </w:r>
          </w:p>
        </w:tc>
        <w:tc>
          <w:tcPr>
            <w:tcW w:w="1134" w:type="dxa"/>
            <w:vAlign w:val="center"/>
          </w:tcPr>
          <w:p>
            <w:pPr>
              <w:pStyle w:val="12"/>
            </w:pPr>
            <w:r>
              <w:t>27.60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26.61</w:t>
            </w:r>
          </w:p>
        </w:tc>
        <w:tc>
          <w:tcPr>
            <w:tcW w:w="1134" w:type="dxa"/>
            <w:vAlign w:val="center"/>
          </w:tcPr>
          <w:p>
            <w:pPr>
              <w:pStyle w:val="12"/>
            </w:pPr>
            <w:r>
              <w:t>26.61</w:t>
            </w:r>
          </w:p>
        </w:tc>
        <w:tc>
          <w:tcPr>
            <w:tcW w:w="1134" w:type="dxa"/>
            <w:vAlign w:val="center"/>
          </w:tcPr>
          <w:p>
            <w:pPr>
              <w:pStyle w:val="12"/>
            </w:pPr>
            <w:r>
              <w:t>26.61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10.01</w:t>
            </w:r>
          </w:p>
        </w:tc>
        <w:tc>
          <w:tcPr>
            <w:tcW w:w="1134" w:type="dxa"/>
            <w:vAlign w:val="center"/>
          </w:tcPr>
          <w:p>
            <w:pPr>
              <w:pStyle w:val="12"/>
            </w:pPr>
            <w:r>
              <w:t>10.01</w:t>
            </w:r>
          </w:p>
        </w:tc>
        <w:tc>
          <w:tcPr>
            <w:tcW w:w="1134" w:type="dxa"/>
            <w:vAlign w:val="center"/>
          </w:tcPr>
          <w:p>
            <w:pPr>
              <w:pStyle w:val="12"/>
            </w:pPr>
            <w:r>
              <w:t>10.01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16.60</w:t>
            </w:r>
          </w:p>
        </w:tc>
        <w:tc>
          <w:tcPr>
            <w:tcW w:w="1134" w:type="dxa"/>
            <w:vAlign w:val="center"/>
          </w:tcPr>
          <w:p>
            <w:pPr>
              <w:pStyle w:val="12"/>
            </w:pPr>
            <w:r>
              <w:t>16.60</w:t>
            </w:r>
          </w:p>
        </w:tc>
        <w:tc>
          <w:tcPr>
            <w:tcW w:w="1134" w:type="dxa"/>
            <w:vAlign w:val="center"/>
          </w:tcPr>
          <w:p>
            <w:pPr>
              <w:pStyle w:val="12"/>
            </w:pPr>
            <w:r>
              <w:t>16.60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20827</w:t>
            </w:r>
          </w:p>
        </w:tc>
        <w:tc>
          <w:tcPr>
            <w:tcW w:w="1559" w:type="dxa"/>
            <w:vAlign w:val="center"/>
          </w:tcPr>
          <w:p>
            <w:pPr>
              <w:pStyle w:val="13"/>
            </w:pPr>
            <w:r>
              <w:t>财政对其他社会保险基金的补助</w:t>
            </w:r>
          </w:p>
        </w:tc>
        <w:tc>
          <w:tcPr>
            <w:tcW w:w="1134" w:type="dxa"/>
            <w:vAlign w:val="center"/>
          </w:tcPr>
          <w:p>
            <w:pPr>
              <w:pStyle w:val="12"/>
            </w:pPr>
            <w:r>
              <w:t>0.99</w:t>
            </w:r>
          </w:p>
        </w:tc>
        <w:tc>
          <w:tcPr>
            <w:tcW w:w="1134" w:type="dxa"/>
            <w:vAlign w:val="center"/>
          </w:tcPr>
          <w:p>
            <w:pPr>
              <w:pStyle w:val="12"/>
            </w:pPr>
            <w:r>
              <w:t>0.99</w:t>
            </w:r>
          </w:p>
        </w:tc>
        <w:tc>
          <w:tcPr>
            <w:tcW w:w="1134" w:type="dxa"/>
            <w:vAlign w:val="center"/>
          </w:tcPr>
          <w:p>
            <w:pPr>
              <w:pStyle w:val="12"/>
            </w:pPr>
            <w:r>
              <w:t>0.99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2082701</w:t>
            </w:r>
          </w:p>
        </w:tc>
        <w:tc>
          <w:tcPr>
            <w:tcW w:w="1559" w:type="dxa"/>
            <w:vAlign w:val="center"/>
          </w:tcPr>
          <w:p>
            <w:pPr>
              <w:pStyle w:val="13"/>
            </w:pPr>
            <w:r>
              <w:t>财政对失业保险基金的补助</w:t>
            </w:r>
          </w:p>
        </w:tc>
        <w:tc>
          <w:tcPr>
            <w:tcW w:w="1134" w:type="dxa"/>
            <w:vAlign w:val="center"/>
          </w:tcPr>
          <w:p>
            <w:pPr>
              <w:pStyle w:val="12"/>
            </w:pPr>
            <w:r>
              <w:t>0.37</w:t>
            </w:r>
          </w:p>
        </w:tc>
        <w:tc>
          <w:tcPr>
            <w:tcW w:w="1134" w:type="dxa"/>
            <w:vAlign w:val="center"/>
          </w:tcPr>
          <w:p>
            <w:pPr>
              <w:pStyle w:val="12"/>
            </w:pPr>
            <w:r>
              <w:t>0.37</w:t>
            </w:r>
          </w:p>
        </w:tc>
        <w:tc>
          <w:tcPr>
            <w:tcW w:w="1134" w:type="dxa"/>
            <w:vAlign w:val="center"/>
          </w:tcPr>
          <w:p>
            <w:pPr>
              <w:pStyle w:val="12"/>
            </w:pPr>
            <w:r>
              <w:t>0.37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2082702</w:t>
            </w:r>
          </w:p>
        </w:tc>
        <w:tc>
          <w:tcPr>
            <w:tcW w:w="1559" w:type="dxa"/>
            <w:vAlign w:val="center"/>
          </w:tcPr>
          <w:p>
            <w:pPr>
              <w:pStyle w:val="13"/>
            </w:pPr>
            <w:r>
              <w:t>财政对工伤保险基金的补助</w:t>
            </w:r>
          </w:p>
        </w:tc>
        <w:tc>
          <w:tcPr>
            <w:tcW w:w="1134" w:type="dxa"/>
            <w:vAlign w:val="center"/>
          </w:tcPr>
          <w:p>
            <w:pPr>
              <w:pStyle w:val="12"/>
            </w:pPr>
            <w:r>
              <w:t>0.62</w:t>
            </w:r>
          </w:p>
        </w:tc>
        <w:tc>
          <w:tcPr>
            <w:tcW w:w="1134" w:type="dxa"/>
            <w:vAlign w:val="center"/>
          </w:tcPr>
          <w:p>
            <w:pPr>
              <w:pStyle w:val="12"/>
            </w:pPr>
            <w:r>
              <w:t>0.62</w:t>
            </w:r>
          </w:p>
        </w:tc>
        <w:tc>
          <w:tcPr>
            <w:tcW w:w="1134" w:type="dxa"/>
            <w:vAlign w:val="center"/>
          </w:tcPr>
          <w:p>
            <w:pPr>
              <w:pStyle w:val="12"/>
            </w:pPr>
            <w:r>
              <w:t>0.62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8.60</w:t>
            </w:r>
          </w:p>
        </w:tc>
        <w:tc>
          <w:tcPr>
            <w:tcW w:w="1134" w:type="dxa"/>
            <w:vAlign w:val="center"/>
          </w:tcPr>
          <w:p>
            <w:pPr>
              <w:pStyle w:val="12"/>
            </w:pPr>
            <w:r>
              <w:t>8.60</w:t>
            </w:r>
          </w:p>
        </w:tc>
        <w:tc>
          <w:tcPr>
            <w:tcW w:w="1134" w:type="dxa"/>
            <w:vAlign w:val="center"/>
          </w:tcPr>
          <w:p>
            <w:pPr>
              <w:pStyle w:val="12"/>
            </w:pPr>
            <w:r>
              <w:t>8.60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8.60</w:t>
            </w:r>
          </w:p>
        </w:tc>
        <w:tc>
          <w:tcPr>
            <w:tcW w:w="1134" w:type="dxa"/>
            <w:vAlign w:val="center"/>
          </w:tcPr>
          <w:p>
            <w:pPr>
              <w:pStyle w:val="12"/>
            </w:pPr>
            <w:r>
              <w:t>8.60</w:t>
            </w:r>
          </w:p>
        </w:tc>
        <w:tc>
          <w:tcPr>
            <w:tcW w:w="1134" w:type="dxa"/>
            <w:vAlign w:val="center"/>
          </w:tcPr>
          <w:p>
            <w:pPr>
              <w:pStyle w:val="12"/>
            </w:pPr>
            <w:r>
              <w:t>8.60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7.60</w:t>
            </w:r>
          </w:p>
        </w:tc>
        <w:tc>
          <w:tcPr>
            <w:tcW w:w="1134" w:type="dxa"/>
            <w:vAlign w:val="center"/>
          </w:tcPr>
          <w:p>
            <w:pPr>
              <w:pStyle w:val="12"/>
            </w:pPr>
            <w:r>
              <w:t>7.60</w:t>
            </w:r>
          </w:p>
        </w:tc>
        <w:tc>
          <w:tcPr>
            <w:tcW w:w="1134" w:type="dxa"/>
            <w:vAlign w:val="center"/>
          </w:tcPr>
          <w:p>
            <w:pPr>
              <w:pStyle w:val="12"/>
            </w:pPr>
            <w:r>
              <w:t>7.60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437承德市双滦区信访局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364.76</w:t>
            </w:r>
          </w:p>
        </w:tc>
        <w:tc>
          <w:tcPr>
            <w:tcW w:w="1361" w:type="dxa"/>
            <w:vAlign w:val="center"/>
          </w:tcPr>
          <w:p>
            <w:pPr>
              <w:pStyle w:val="16"/>
            </w:pPr>
            <w:r>
              <w:t>195.76</w:t>
            </w:r>
          </w:p>
        </w:tc>
        <w:tc>
          <w:tcPr>
            <w:tcW w:w="1361" w:type="dxa"/>
            <w:vAlign w:val="center"/>
          </w:tcPr>
          <w:p>
            <w:pPr>
              <w:pStyle w:val="16"/>
            </w:pPr>
            <w:r>
              <w:t>169.00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315.55</w:t>
            </w:r>
          </w:p>
        </w:tc>
        <w:tc>
          <w:tcPr>
            <w:tcW w:w="1361" w:type="dxa"/>
            <w:vAlign w:val="center"/>
          </w:tcPr>
          <w:p>
            <w:pPr>
              <w:pStyle w:val="12"/>
            </w:pPr>
            <w:r>
              <w:t>146.55</w:t>
            </w:r>
          </w:p>
        </w:tc>
        <w:tc>
          <w:tcPr>
            <w:tcW w:w="1361" w:type="dxa"/>
            <w:vAlign w:val="center"/>
          </w:tcPr>
          <w:p>
            <w:pPr>
              <w:pStyle w:val="12"/>
            </w:pPr>
            <w:r>
              <w:t>169.00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20140</w:t>
            </w:r>
          </w:p>
        </w:tc>
        <w:tc>
          <w:tcPr>
            <w:tcW w:w="4535" w:type="dxa"/>
            <w:vAlign w:val="center"/>
          </w:tcPr>
          <w:p>
            <w:pPr>
              <w:pStyle w:val="13"/>
            </w:pPr>
            <w:r>
              <w:t>信访事务</w:t>
            </w:r>
          </w:p>
        </w:tc>
        <w:tc>
          <w:tcPr>
            <w:tcW w:w="1361" w:type="dxa"/>
            <w:vAlign w:val="center"/>
          </w:tcPr>
          <w:p>
            <w:pPr>
              <w:pStyle w:val="12"/>
            </w:pPr>
            <w:r>
              <w:t>315.55</w:t>
            </w:r>
          </w:p>
        </w:tc>
        <w:tc>
          <w:tcPr>
            <w:tcW w:w="1361" w:type="dxa"/>
            <w:vAlign w:val="center"/>
          </w:tcPr>
          <w:p>
            <w:pPr>
              <w:pStyle w:val="12"/>
            </w:pPr>
            <w:r>
              <w:t>146.55</w:t>
            </w:r>
          </w:p>
        </w:tc>
        <w:tc>
          <w:tcPr>
            <w:tcW w:w="1361" w:type="dxa"/>
            <w:vAlign w:val="center"/>
          </w:tcPr>
          <w:p>
            <w:pPr>
              <w:pStyle w:val="12"/>
            </w:pPr>
            <w:r>
              <w:t>169.00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2014001</w:t>
            </w:r>
          </w:p>
        </w:tc>
        <w:tc>
          <w:tcPr>
            <w:tcW w:w="4535" w:type="dxa"/>
            <w:vAlign w:val="center"/>
          </w:tcPr>
          <w:p>
            <w:pPr>
              <w:pStyle w:val="13"/>
            </w:pPr>
            <w:r>
              <w:t>行政运行</w:t>
            </w:r>
          </w:p>
        </w:tc>
        <w:tc>
          <w:tcPr>
            <w:tcW w:w="1361" w:type="dxa"/>
            <w:vAlign w:val="center"/>
          </w:tcPr>
          <w:p>
            <w:pPr>
              <w:pStyle w:val="12"/>
            </w:pPr>
            <w:r>
              <w:t>146.55</w:t>
            </w:r>
          </w:p>
        </w:tc>
        <w:tc>
          <w:tcPr>
            <w:tcW w:w="1361" w:type="dxa"/>
            <w:vAlign w:val="center"/>
          </w:tcPr>
          <w:p>
            <w:pPr>
              <w:pStyle w:val="12"/>
            </w:pPr>
            <w:r>
              <w:t>146.55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2014099</w:t>
            </w:r>
          </w:p>
        </w:tc>
        <w:tc>
          <w:tcPr>
            <w:tcW w:w="4535" w:type="dxa"/>
            <w:vAlign w:val="center"/>
          </w:tcPr>
          <w:p>
            <w:pPr>
              <w:pStyle w:val="13"/>
            </w:pPr>
            <w:r>
              <w:t>其他信访事务支出</w:t>
            </w:r>
          </w:p>
        </w:tc>
        <w:tc>
          <w:tcPr>
            <w:tcW w:w="1361" w:type="dxa"/>
            <w:vAlign w:val="center"/>
          </w:tcPr>
          <w:p>
            <w:pPr>
              <w:pStyle w:val="12"/>
            </w:pPr>
            <w:r>
              <w:t>169.00</w:t>
            </w:r>
          </w:p>
        </w:tc>
        <w:tc>
          <w:tcPr>
            <w:tcW w:w="1361" w:type="dxa"/>
            <w:vAlign w:val="center"/>
          </w:tcPr>
          <w:p>
            <w:pPr>
              <w:pStyle w:val="12"/>
            </w:pPr>
          </w:p>
        </w:tc>
        <w:tc>
          <w:tcPr>
            <w:tcW w:w="1361" w:type="dxa"/>
            <w:vAlign w:val="center"/>
          </w:tcPr>
          <w:p>
            <w:pPr>
              <w:pStyle w:val="12"/>
            </w:pPr>
            <w:r>
              <w:t>169.00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27.60</w:t>
            </w:r>
          </w:p>
        </w:tc>
        <w:tc>
          <w:tcPr>
            <w:tcW w:w="1361" w:type="dxa"/>
            <w:vAlign w:val="center"/>
          </w:tcPr>
          <w:p>
            <w:pPr>
              <w:pStyle w:val="12"/>
            </w:pPr>
            <w:r>
              <w:t>27.60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26.61</w:t>
            </w:r>
          </w:p>
        </w:tc>
        <w:tc>
          <w:tcPr>
            <w:tcW w:w="1361" w:type="dxa"/>
            <w:vAlign w:val="center"/>
          </w:tcPr>
          <w:p>
            <w:pPr>
              <w:pStyle w:val="12"/>
            </w:pPr>
            <w:r>
              <w:t>26.61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10.01</w:t>
            </w:r>
          </w:p>
        </w:tc>
        <w:tc>
          <w:tcPr>
            <w:tcW w:w="1361" w:type="dxa"/>
            <w:vAlign w:val="center"/>
          </w:tcPr>
          <w:p>
            <w:pPr>
              <w:pStyle w:val="12"/>
            </w:pPr>
            <w:r>
              <w:t>10.01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16.60</w:t>
            </w:r>
          </w:p>
        </w:tc>
        <w:tc>
          <w:tcPr>
            <w:tcW w:w="1361" w:type="dxa"/>
            <w:vAlign w:val="center"/>
          </w:tcPr>
          <w:p>
            <w:pPr>
              <w:pStyle w:val="12"/>
            </w:pPr>
            <w:r>
              <w:t>16.60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20827</w:t>
            </w:r>
          </w:p>
        </w:tc>
        <w:tc>
          <w:tcPr>
            <w:tcW w:w="4535" w:type="dxa"/>
            <w:vAlign w:val="center"/>
          </w:tcPr>
          <w:p>
            <w:pPr>
              <w:pStyle w:val="13"/>
            </w:pPr>
            <w:r>
              <w:t>财政对其他社会保险基金的补助</w:t>
            </w:r>
          </w:p>
        </w:tc>
        <w:tc>
          <w:tcPr>
            <w:tcW w:w="1361" w:type="dxa"/>
            <w:vAlign w:val="center"/>
          </w:tcPr>
          <w:p>
            <w:pPr>
              <w:pStyle w:val="12"/>
            </w:pPr>
            <w:r>
              <w:t>0.99</w:t>
            </w:r>
          </w:p>
        </w:tc>
        <w:tc>
          <w:tcPr>
            <w:tcW w:w="1361" w:type="dxa"/>
            <w:vAlign w:val="center"/>
          </w:tcPr>
          <w:p>
            <w:pPr>
              <w:pStyle w:val="12"/>
            </w:pPr>
            <w:r>
              <w:t>0.99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2082701</w:t>
            </w:r>
          </w:p>
        </w:tc>
        <w:tc>
          <w:tcPr>
            <w:tcW w:w="4535" w:type="dxa"/>
            <w:vAlign w:val="center"/>
          </w:tcPr>
          <w:p>
            <w:pPr>
              <w:pStyle w:val="13"/>
            </w:pPr>
            <w:r>
              <w:t>财政对失业保险基金的补助</w:t>
            </w:r>
          </w:p>
        </w:tc>
        <w:tc>
          <w:tcPr>
            <w:tcW w:w="1361" w:type="dxa"/>
            <w:vAlign w:val="center"/>
          </w:tcPr>
          <w:p>
            <w:pPr>
              <w:pStyle w:val="12"/>
            </w:pPr>
            <w:r>
              <w:t>0.37</w:t>
            </w:r>
          </w:p>
        </w:tc>
        <w:tc>
          <w:tcPr>
            <w:tcW w:w="1361" w:type="dxa"/>
            <w:vAlign w:val="center"/>
          </w:tcPr>
          <w:p>
            <w:pPr>
              <w:pStyle w:val="12"/>
            </w:pPr>
            <w:r>
              <w:t>0.37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2082702</w:t>
            </w:r>
          </w:p>
        </w:tc>
        <w:tc>
          <w:tcPr>
            <w:tcW w:w="4535" w:type="dxa"/>
            <w:vAlign w:val="center"/>
          </w:tcPr>
          <w:p>
            <w:pPr>
              <w:pStyle w:val="13"/>
            </w:pPr>
            <w:r>
              <w:t>财政对工伤保险基金的补助</w:t>
            </w:r>
          </w:p>
        </w:tc>
        <w:tc>
          <w:tcPr>
            <w:tcW w:w="1361" w:type="dxa"/>
            <w:vAlign w:val="center"/>
          </w:tcPr>
          <w:p>
            <w:pPr>
              <w:pStyle w:val="12"/>
            </w:pPr>
            <w:r>
              <w:t>0.62</w:t>
            </w:r>
          </w:p>
        </w:tc>
        <w:tc>
          <w:tcPr>
            <w:tcW w:w="1361" w:type="dxa"/>
            <w:vAlign w:val="center"/>
          </w:tcPr>
          <w:p>
            <w:pPr>
              <w:pStyle w:val="12"/>
            </w:pPr>
            <w:r>
              <w:t>0.62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8.60</w:t>
            </w:r>
          </w:p>
        </w:tc>
        <w:tc>
          <w:tcPr>
            <w:tcW w:w="1361" w:type="dxa"/>
            <w:vAlign w:val="center"/>
          </w:tcPr>
          <w:p>
            <w:pPr>
              <w:pStyle w:val="12"/>
            </w:pPr>
            <w:r>
              <w:t>8.60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8.60</w:t>
            </w:r>
          </w:p>
        </w:tc>
        <w:tc>
          <w:tcPr>
            <w:tcW w:w="1361" w:type="dxa"/>
            <w:vAlign w:val="center"/>
          </w:tcPr>
          <w:p>
            <w:pPr>
              <w:pStyle w:val="12"/>
            </w:pPr>
            <w:r>
              <w:t>8.60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7.60</w:t>
            </w:r>
          </w:p>
        </w:tc>
        <w:tc>
          <w:tcPr>
            <w:tcW w:w="1361" w:type="dxa"/>
            <w:vAlign w:val="center"/>
          </w:tcPr>
          <w:p>
            <w:pPr>
              <w:pStyle w:val="12"/>
            </w:pPr>
            <w:r>
              <w:t>7.60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1.00</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13.00</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13.00</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13.00</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437承德市双滦区信访局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364.76</w:t>
            </w:r>
          </w:p>
        </w:tc>
        <w:tc>
          <w:tcPr>
            <w:tcW w:w="3402" w:type="dxa"/>
            <w:vAlign w:val="center"/>
          </w:tcPr>
          <w:p>
            <w:pPr>
              <w:pStyle w:val="13"/>
            </w:pPr>
            <w:r>
              <w:t>一、一般公共服务支出</w:t>
            </w:r>
          </w:p>
        </w:tc>
        <w:tc>
          <w:tcPr>
            <w:tcW w:w="1474" w:type="dxa"/>
            <w:vAlign w:val="center"/>
          </w:tcPr>
          <w:p>
            <w:pPr>
              <w:pStyle w:val="12"/>
            </w:pPr>
            <w:r>
              <w:t>315.55</w:t>
            </w:r>
          </w:p>
        </w:tc>
        <w:tc>
          <w:tcPr>
            <w:tcW w:w="1474" w:type="dxa"/>
            <w:vAlign w:val="center"/>
          </w:tcPr>
          <w:p>
            <w:pPr>
              <w:pStyle w:val="12"/>
            </w:pPr>
            <w:r>
              <w:t>315.55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27.60</w:t>
            </w:r>
          </w:p>
        </w:tc>
        <w:tc>
          <w:tcPr>
            <w:tcW w:w="1474" w:type="dxa"/>
            <w:vAlign w:val="center"/>
          </w:tcPr>
          <w:p>
            <w:pPr>
              <w:pStyle w:val="12"/>
            </w:pPr>
            <w:r>
              <w:t>27.60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8.60</w:t>
            </w:r>
          </w:p>
        </w:tc>
        <w:tc>
          <w:tcPr>
            <w:tcW w:w="1474" w:type="dxa"/>
            <w:vAlign w:val="center"/>
          </w:tcPr>
          <w:p>
            <w:pPr>
              <w:pStyle w:val="12"/>
            </w:pPr>
            <w:r>
              <w:t>8.60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13.00</w:t>
            </w:r>
          </w:p>
        </w:tc>
        <w:tc>
          <w:tcPr>
            <w:tcW w:w="1474" w:type="dxa"/>
            <w:vAlign w:val="center"/>
          </w:tcPr>
          <w:p>
            <w:pPr>
              <w:pStyle w:val="12"/>
            </w:pPr>
            <w:r>
              <w:t>13.00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364.76</w:t>
            </w:r>
          </w:p>
        </w:tc>
        <w:tc>
          <w:tcPr>
            <w:tcW w:w="3402" w:type="dxa"/>
            <w:vAlign w:val="center"/>
          </w:tcPr>
          <w:p>
            <w:pPr>
              <w:pStyle w:val="15"/>
            </w:pPr>
            <w:r>
              <w:t>本年支出合计</w:t>
            </w:r>
          </w:p>
        </w:tc>
        <w:tc>
          <w:tcPr>
            <w:tcW w:w="1474" w:type="dxa"/>
            <w:vAlign w:val="center"/>
          </w:tcPr>
          <w:p>
            <w:pPr>
              <w:pStyle w:val="16"/>
            </w:pPr>
            <w:r>
              <w:t>364.76</w:t>
            </w:r>
          </w:p>
        </w:tc>
        <w:tc>
          <w:tcPr>
            <w:tcW w:w="1474" w:type="dxa"/>
            <w:vAlign w:val="center"/>
          </w:tcPr>
          <w:p>
            <w:pPr>
              <w:pStyle w:val="16"/>
            </w:pPr>
            <w:r>
              <w:t>364.76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364.76</w:t>
            </w:r>
          </w:p>
        </w:tc>
        <w:tc>
          <w:tcPr>
            <w:tcW w:w="3402" w:type="dxa"/>
            <w:vAlign w:val="center"/>
          </w:tcPr>
          <w:p>
            <w:pPr>
              <w:pStyle w:val="15"/>
            </w:pPr>
            <w:r>
              <w:t>支出总计</w:t>
            </w:r>
          </w:p>
        </w:tc>
        <w:tc>
          <w:tcPr>
            <w:tcW w:w="1474" w:type="dxa"/>
            <w:vAlign w:val="center"/>
          </w:tcPr>
          <w:p>
            <w:pPr>
              <w:pStyle w:val="16"/>
            </w:pPr>
            <w:r>
              <w:t>364.76</w:t>
            </w:r>
          </w:p>
        </w:tc>
        <w:tc>
          <w:tcPr>
            <w:tcW w:w="1474" w:type="dxa"/>
            <w:vAlign w:val="center"/>
          </w:tcPr>
          <w:p>
            <w:pPr>
              <w:pStyle w:val="16"/>
            </w:pPr>
            <w:r>
              <w:t>364.76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437承德市双滦区信访局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364.76</w:t>
            </w:r>
          </w:p>
        </w:tc>
        <w:tc>
          <w:tcPr>
            <w:tcW w:w="2551" w:type="dxa"/>
            <w:vAlign w:val="center"/>
          </w:tcPr>
          <w:p>
            <w:pPr>
              <w:pStyle w:val="16"/>
            </w:pPr>
            <w:r>
              <w:t>195.76</w:t>
            </w:r>
          </w:p>
        </w:tc>
        <w:tc>
          <w:tcPr>
            <w:tcW w:w="2551" w:type="dxa"/>
            <w:vAlign w:val="center"/>
          </w:tcPr>
          <w:p>
            <w:pPr>
              <w:pStyle w:val="16"/>
            </w:pPr>
            <w:r>
              <w:t>169.00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315.55</w:t>
            </w:r>
          </w:p>
        </w:tc>
        <w:tc>
          <w:tcPr>
            <w:tcW w:w="2551" w:type="dxa"/>
            <w:vAlign w:val="center"/>
          </w:tcPr>
          <w:p>
            <w:pPr>
              <w:pStyle w:val="12"/>
            </w:pPr>
            <w:r>
              <w:t>146.55</w:t>
            </w:r>
          </w:p>
        </w:tc>
        <w:tc>
          <w:tcPr>
            <w:tcW w:w="2551" w:type="dxa"/>
            <w:vAlign w:val="center"/>
          </w:tcPr>
          <w:p>
            <w:pPr>
              <w:pStyle w:val="12"/>
            </w:pPr>
            <w:r>
              <w:t>169.00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20140</w:t>
            </w:r>
          </w:p>
        </w:tc>
        <w:tc>
          <w:tcPr>
            <w:tcW w:w="4535" w:type="dxa"/>
            <w:vAlign w:val="center"/>
          </w:tcPr>
          <w:p>
            <w:pPr>
              <w:pStyle w:val="13"/>
            </w:pPr>
            <w:r>
              <w:t>信访事务</w:t>
            </w:r>
          </w:p>
        </w:tc>
        <w:tc>
          <w:tcPr>
            <w:tcW w:w="2551" w:type="dxa"/>
            <w:vAlign w:val="center"/>
          </w:tcPr>
          <w:p>
            <w:pPr>
              <w:pStyle w:val="12"/>
            </w:pPr>
            <w:r>
              <w:t>315.55</w:t>
            </w:r>
          </w:p>
        </w:tc>
        <w:tc>
          <w:tcPr>
            <w:tcW w:w="2551" w:type="dxa"/>
            <w:vAlign w:val="center"/>
          </w:tcPr>
          <w:p>
            <w:pPr>
              <w:pStyle w:val="12"/>
            </w:pPr>
            <w:r>
              <w:t>146.55</w:t>
            </w:r>
          </w:p>
        </w:tc>
        <w:tc>
          <w:tcPr>
            <w:tcW w:w="2551" w:type="dxa"/>
            <w:vAlign w:val="center"/>
          </w:tcPr>
          <w:p>
            <w:pPr>
              <w:pStyle w:val="12"/>
            </w:pPr>
            <w:r>
              <w:t>169.00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2014001</w:t>
            </w:r>
          </w:p>
        </w:tc>
        <w:tc>
          <w:tcPr>
            <w:tcW w:w="4535" w:type="dxa"/>
            <w:vAlign w:val="center"/>
          </w:tcPr>
          <w:p>
            <w:pPr>
              <w:pStyle w:val="13"/>
            </w:pPr>
            <w:r>
              <w:t>行政运行</w:t>
            </w:r>
          </w:p>
        </w:tc>
        <w:tc>
          <w:tcPr>
            <w:tcW w:w="2551" w:type="dxa"/>
            <w:vAlign w:val="center"/>
          </w:tcPr>
          <w:p>
            <w:pPr>
              <w:pStyle w:val="12"/>
            </w:pPr>
            <w:r>
              <w:t>146.55</w:t>
            </w:r>
          </w:p>
        </w:tc>
        <w:tc>
          <w:tcPr>
            <w:tcW w:w="2551" w:type="dxa"/>
            <w:vAlign w:val="center"/>
          </w:tcPr>
          <w:p>
            <w:pPr>
              <w:pStyle w:val="12"/>
            </w:pPr>
            <w:r>
              <w:t>146.55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2014099</w:t>
            </w:r>
          </w:p>
        </w:tc>
        <w:tc>
          <w:tcPr>
            <w:tcW w:w="4535" w:type="dxa"/>
            <w:vAlign w:val="center"/>
          </w:tcPr>
          <w:p>
            <w:pPr>
              <w:pStyle w:val="13"/>
            </w:pPr>
            <w:r>
              <w:t>其他信访事务支出</w:t>
            </w:r>
          </w:p>
        </w:tc>
        <w:tc>
          <w:tcPr>
            <w:tcW w:w="2551" w:type="dxa"/>
            <w:vAlign w:val="center"/>
          </w:tcPr>
          <w:p>
            <w:pPr>
              <w:pStyle w:val="12"/>
            </w:pPr>
            <w:r>
              <w:t>169.00</w:t>
            </w:r>
          </w:p>
        </w:tc>
        <w:tc>
          <w:tcPr>
            <w:tcW w:w="2551" w:type="dxa"/>
            <w:vAlign w:val="center"/>
          </w:tcPr>
          <w:p>
            <w:pPr>
              <w:pStyle w:val="12"/>
            </w:pPr>
          </w:p>
        </w:tc>
        <w:tc>
          <w:tcPr>
            <w:tcW w:w="2551" w:type="dxa"/>
            <w:vAlign w:val="center"/>
          </w:tcPr>
          <w:p>
            <w:pPr>
              <w:pStyle w:val="12"/>
            </w:pPr>
            <w:r>
              <w:t>169.00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27.60</w:t>
            </w:r>
          </w:p>
        </w:tc>
        <w:tc>
          <w:tcPr>
            <w:tcW w:w="2551" w:type="dxa"/>
            <w:vAlign w:val="center"/>
          </w:tcPr>
          <w:p>
            <w:pPr>
              <w:pStyle w:val="12"/>
            </w:pPr>
            <w:r>
              <w:t>27.60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26.61</w:t>
            </w:r>
          </w:p>
        </w:tc>
        <w:tc>
          <w:tcPr>
            <w:tcW w:w="2551" w:type="dxa"/>
            <w:vAlign w:val="center"/>
          </w:tcPr>
          <w:p>
            <w:pPr>
              <w:pStyle w:val="12"/>
            </w:pPr>
            <w:r>
              <w:t>26.61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10.01</w:t>
            </w:r>
          </w:p>
        </w:tc>
        <w:tc>
          <w:tcPr>
            <w:tcW w:w="2551" w:type="dxa"/>
            <w:vAlign w:val="center"/>
          </w:tcPr>
          <w:p>
            <w:pPr>
              <w:pStyle w:val="12"/>
            </w:pPr>
            <w:r>
              <w:t>10.01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16.60</w:t>
            </w:r>
          </w:p>
        </w:tc>
        <w:tc>
          <w:tcPr>
            <w:tcW w:w="2551" w:type="dxa"/>
            <w:vAlign w:val="center"/>
          </w:tcPr>
          <w:p>
            <w:pPr>
              <w:pStyle w:val="12"/>
            </w:pPr>
            <w:r>
              <w:t>16.60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20827</w:t>
            </w:r>
          </w:p>
        </w:tc>
        <w:tc>
          <w:tcPr>
            <w:tcW w:w="4535" w:type="dxa"/>
            <w:vAlign w:val="center"/>
          </w:tcPr>
          <w:p>
            <w:pPr>
              <w:pStyle w:val="13"/>
            </w:pPr>
            <w:r>
              <w:t>财政对其他社会保险基金的补助</w:t>
            </w:r>
          </w:p>
        </w:tc>
        <w:tc>
          <w:tcPr>
            <w:tcW w:w="2551" w:type="dxa"/>
            <w:vAlign w:val="center"/>
          </w:tcPr>
          <w:p>
            <w:pPr>
              <w:pStyle w:val="12"/>
            </w:pPr>
            <w:r>
              <w:t>0.99</w:t>
            </w:r>
          </w:p>
        </w:tc>
        <w:tc>
          <w:tcPr>
            <w:tcW w:w="2551" w:type="dxa"/>
            <w:vAlign w:val="center"/>
          </w:tcPr>
          <w:p>
            <w:pPr>
              <w:pStyle w:val="12"/>
            </w:pPr>
            <w:r>
              <w:t>0.99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2082701</w:t>
            </w:r>
          </w:p>
        </w:tc>
        <w:tc>
          <w:tcPr>
            <w:tcW w:w="4535" w:type="dxa"/>
            <w:vAlign w:val="center"/>
          </w:tcPr>
          <w:p>
            <w:pPr>
              <w:pStyle w:val="13"/>
            </w:pPr>
            <w:r>
              <w:t>财政对失业保险基金的补助</w:t>
            </w:r>
          </w:p>
        </w:tc>
        <w:tc>
          <w:tcPr>
            <w:tcW w:w="2551" w:type="dxa"/>
            <w:vAlign w:val="center"/>
          </w:tcPr>
          <w:p>
            <w:pPr>
              <w:pStyle w:val="12"/>
            </w:pPr>
            <w:r>
              <w:t>0.37</w:t>
            </w:r>
          </w:p>
        </w:tc>
        <w:tc>
          <w:tcPr>
            <w:tcW w:w="2551" w:type="dxa"/>
            <w:vAlign w:val="center"/>
          </w:tcPr>
          <w:p>
            <w:pPr>
              <w:pStyle w:val="12"/>
            </w:pPr>
            <w:r>
              <w:t>0.37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2082702</w:t>
            </w:r>
          </w:p>
        </w:tc>
        <w:tc>
          <w:tcPr>
            <w:tcW w:w="4535" w:type="dxa"/>
            <w:vAlign w:val="center"/>
          </w:tcPr>
          <w:p>
            <w:pPr>
              <w:pStyle w:val="13"/>
            </w:pPr>
            <w:r>
              <w:t>财政对工伤保险基金的补助</w:t>
            </w:r>
          </w:p>
        </w:tc>
        <w:tc>
          <w:tcPr>
            <w:tcW w:w="2551" w:type="dxa"/>
            <w:vAlign w:val="center"/>
          </w:tcPr>
          <w:p>
            <w:pPr>
              <w:pStyle w:val="12"/>
            </w:pPr>
            <w:r>
              <w:t>0.62</w:t>
            </w:r>
          </w:p>
        </w:tc>
        <w:tc>
          <w:tcPr>
            <w:tcW w:w="2551" w:type="dxa"/>
            <w:vAlign w:val="center"/>
          </w:tcPr>
          <w:p>
            <w:pPr>
              <w:pStyle w:val="12"/>
            </w:pPr>
            <w:r>
              <w:t>0.62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8.60</w:t>
            </w:r>
          </w:p>
        </w:tc>
        <w:tc>
          <w:tcPr>
            <w:tcW w:w="2551" w:type="dxa"/>
            <w:vAlign w:val="center"/>
          </w:tcPr>
          <w:p>
            <w:pPr>
              <w:pStyle w:val="12"/>
            </w:pPr>
            <w:r>
              <w:t>8.60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8.60</w:t>
            </w:r>
          </w:p>
        </w:tc>
        <w:tc>
          <w:tcPr>
            <w:tcW w:w="2551" w:type="dxa"/>
            <w:vAlign w:val="center"/>
          </w:tcPr>
          <w:p>
            <w:pPr>
              <w:pStyle w:val="12"/>
            </w:pPr>
            <w:r>
              <w:t>8.60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7.60</w:t>
            </w:r>
          </w:p>
        </w:tc>
        <w:tc>
          <w:tcPr>
            <w:tcW w:w="2551" w:type="dxa"/>
            <w:vAlign w:val="center"/>
          </w:tcPr>
          <w:p>
            <w:pPr>
              <w:pStyle w:val="12"/>
            </w:pPr>
            <w:r>
              <w:t>7.60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1.00</w:t>
            </w:r>
          </w:p>
        </w:tc>
        <w:tc>
          <w:tcPr>
            <w:tcW w:w="2551" w:type="dxa"/>
            <w:vAlign w:val="center"/>
          </w:tcPr>
          <w:p>
            <w:pPr>
              <w:pStyle w:val="12"/>
            </w:pPr>
            <w:r>
              <w:t>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13.00</w:t>
            </w:r>
          </w:p>
        </w:tc>
        <w:tc>
          <w:tcPr>
            <w:tcW w:w="2551" w:type="dxa"/>
            <w:vAlign w:val="center"/>
          </w:tcPr>
          <w:p>
            <w:pPr>
              <w:pStyle w:val="12"/>
            </w:pPr>
            <w:r>
              <w:t>13.00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13.00</w:t>
            </w:r>
          </w:p>
        </w:tc>
        <w:tc>
          <w:tcPr>
            <w:tcW w:w="2551" w:type="dxa"/>
            <w:vAlign w:val="center"/>
          </w:tcPr>
          <w:p>
            <w:pPr>
              <w:pStyle w:val="12"/>
            </w:pPr>
            <w:r>
              <w:t>13.00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13.00</w:t>
            </w:r>
          </w:p>
        </w:tc>
        <w:tc>
          <w:tcPr>
            <w:tcW w:w="2551" w:type="dxa"/>
            <w:vAlign w:val="center"/>
          </w:tcPr>
          <w:p>
            <w:pPr>
              <w:pStyle w:val="12"/>
            </w:pPr>
            <w:r>
              <w:t>13.00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437承德市双滦区信访局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195.76</w:t>
            </w:r>
          </w:p>
        </w:tc>
        <w:tc>
          <w:tcPr>
            <w:tcW w:w="2551" w:type="dxa"/>
            <w:vAlign w:val="center"/>
          </w:tcPr>
          <w:p>
            <w:pPr>
              <w:pStyle w:val="16"/>
            </w:pPr>
            <w:r>
              <w:t>165.64</w:t>
            </w:r>
          </w:p>
        </w:tc>
        <w:tc>
          <w:tcPr>
            <w:tcW w:w="2551" w:type="dxa"/>
            <w:vAlign w:val="center"/>
          </w:tcPr>
          <w:p>
            <w:pPr>
              <w:pStyle w:val="16"/>
            </w:pPr>
            <w:r>
              <w:t>30.12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155.75</w:t>
            </w:r>
          </w:p>
        </w:tc>
        <w:tc>
          <w:tcPr>
            <w:tcW w:w="2551" w:type="dxa"/>
            <w:vAlign w:val="center"/>
          </w:tcPr>
          <w:p>
            <w:pPr>
              <w:pStyle w:val="12"/>
            </w:pPr>
            <w:r>
              <w:t>155.75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50.15</w:t>
            </w:r>
          </w:p>
        </w:tc>
        <w:tc>
          <w:tcPr>
            <w:tcW w:w="2551" w:type="dxa"/>
            <w:vAlign w:val="center"/>
          </w:tcPr>
          <w:p>
            <w:pPr>
              <w:pStyle w:val="12"/>
            </w:pPr>
            <w:r>
              <w:t>50.15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25.63</w:t>
            </w:r>
          </w:p>
        </w:tc>
        <w:tc>
          <w:tcPr>
            <w:tcW w:w="2551" w:type="dxa"/>
            <w:vAlign w:val="center"/>
          </w:tcPr>
          <w:p>
            <w:pPr>
              <w:pStyle w:val="12"/>
            </w:pPr>
            <w:r>
              <w:t>25.63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10.69</w:t>
            </w:r>
          </w:p>
        </w:tc>
        <w:tc>
          <w:tcPr>
            <w:tcW w:w="2551" w:type="dxa"/>
            <w:vAlign w:val="center"/>
          </w:tcPr>
          <w:p>
            <w:pPr>
              <w:pStyle w:val="12"/>
            </w:pPr>
            <w:r>
              <w:t>10.69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30.09</w:t>
            </w:r>
          </w:p>
        </w:tc>
        <w:tc>
          <w:tcPr>
            <w:tcW w:w="2551" w:type="dxa"/>
            <w:vAlign w:val="center"/>
          </w:tcPr>
          <w:p>
            <w:pPr>
              <w:pStyle w:val="12"/>
            </w:pPr>
            <w:r>
              <w:t>30.09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16.60</w:t>
            </w:r>
          </w:p>
        </w:tc>
        <w:tc>
          <w:tcPr>
            <w:tcW w:w="2551" w:type="dxa"/>
            <w:vAlign w:val="center"/>
          </w:tcPr>
          <w:p>
            <w:pPr>
              <w:pStyle w:val="12"/>
            </w:pPr>
            <w:r>
              <w:t>16.60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7.60</w:t>
            </w:r>
          </w:p>
        </w:tc>
        <w:tc>
          <w:tcPr>
            <w:tcW w:w="2551" w:type="dxa"/>
            <w:vAlign w:val="center"/>
          </w:tcPr>
          <w:p>
            <w:pPr>
              <w:pStyle w:val="12"/>
            </w:pPr>
            <w:r>
              <w:t>7.60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1.00</w:t>
            </w:r>
          </w:p>
        </w:tc>
        <w:tc>
          <w:tcPr>
            <w:tcW w:w="2551" w:type="dxa"/>
            <w:vAlign w:val="center"/>
          </w:tcPr>
          <w:p>
            <w:pPr>
              <w:pStyle w:val="12"/>
            </w:pPr>
            <w:r>
              <w:t>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0.99</w:t>
            </w:r>
          </w:p>
        </w:tc>
        <w:tc>
          <w:tcPr>
            <w:tcW w:w="2551" w:type="dxa"/>
            <w:vAlign w:val="center"/>
          </w:tcPr>
          <w:p>
            <w:pPr>
              <w:pStyle w:val="12"/>
            </w:pPr>
            <w:r>
              <w:t>0.99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13.00</w:t>
            </w:r>
          </w:p>
        </w:tc>
        <w:tc>
          <w:tcPr>
            <w:tcW w:w="2551" w:type="dxa"/>
            <w:vAlign w:val="center"/>
          </w:tcPr>
          <w:p>
            <w:pPr>
              <w:pStyle w:val="12"/>
            </w:pPr>
            <w:r>
              <w:t>13.00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30.12</w:t>
            </w:r>
          </w:p>
        </w:tc>
        <w:tc>
          <w:tcPr>
            <w:tcW w:w="2551" w:type="dxa"/>
            <w:vAlign w:val="center"/>
          </w:tcPr>
          <w:p>
            <w:pPr>
              <w:pStyle w:val="12"/>
            </w:pPr>
          </w:p>
        </w:tc>
        <w:tc>
          <w:tcPr>
            <w:tcW w:w="2551" w:type="dxa"/>
            <w:vAlign w:val="center"/>
          </w:tcPr>
          <w:p>
            <w:pPr>
              <w:pStyle w:val="12"/>
            </w:pPr>
            <w:r>
              <w:t>30.12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3.30</w:t>
            </w:r>
          </w:p>
        </w:tc>
        <w:tc>
          <w:tcPr>
            <w:tcW w:w="2551" w:type="dxa"/>
            <w:vAlign w:val="center"/>
          </w:tcPr>
          <w:p>
            <w:pPr>
              <w:pStyle w:val="12"/>
            </w:pPr>
          </w:p>
        </w:tc>
        <w:tc>
          <w:tcPr>
            <w:tcW w:w="2551" w:type="dxa"/>
            <w:vAlign w:val="center"/>
          </w:tcPr>
          <w:p>
            <w:pPr>
              <w:pStyle w:val="12"/>
            </w:pPr>
            <w:r>
              <w:t>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6.50</w:t>
            </w:r>
          </w:p>
        </w:tc>
        <w:tc>
          <w:tcPr>
            <w:tcW w:w="2551" w:type="dxa"/>
            <w:vAlign w:val="center"/>
          </w:tcPr>
          <w:p>
            <w:pPr>
              <w:pStyle w:val="12"/>
            </w:pPr>
          </w:p>
        </w:tc>
        <w:tc>
          <w:tcPr>
            <w:tcW w:w="2551" w:type="dxa"/>
            <w:vAlign w:val="center"/>
          </w:tcPr>
          <w:p>
            <w:pPr>
              <w:pStyle w:val="12"/>
            </w:pPr>
            <w:r>
              <w:t>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2.34</w:t>
            </w:r>
          </w:p>
        </w:tc>
        <w:tc>
          <w:tcPr>
            <w:tcW w:w="2551" w:type="dxa"/>
            <w:vAlign w:val="center"/>
          </w:tcPr>
          <w:p>
            <w:pPr>
              <w:pStyle w:val="12"/>
            </w:pPr>
          </w:p>
        </w:tc>
        <w:tc>
          <w:tcPr>
            <w:tcW w:w="2551" w:type="dxa"/>
            <w:vAlign w:val="center"/>
          </w:tcPr>
          <w:p>
            <w:pPr>
              <w:pStyle w:val="12"/>
            </w:pPr>
            <w:r>
              <w:t>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7.21</w:t>
            </w:r>
          </w:p>
        </w:tc>
        <w:tc>
          <w:tcPr>
            <w:tcW w:w="2551" w:type="dxa"/>
            <w:vAlign w:val="center"/>
          </w:tcPr>
          <w:p>
            <w:pPr>
              <w:pStyle w:val="12"/>
            </w:pPr>
          </w:p>
        </w:tc>
        <w:tc>
          <w:tcPr>
            <w:tcW w:w="2551" w:type="dxa"/>
            <w:vAlign w:val="center"/>
          </w:tcPr>
          <w:p>
            <w:pPr>
              <w:pStyle w:val="12"/>
            </w:pPr>
            <w:r>
              <w:t>7.21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0.28</w:t>
            </w:r>
          </w:p>
        </w:tc>
        <w:tc>
          <w:tcPr>
            <w:tcW w:w="2551" w:type="dxa"/>
            <w:vAlign w:val="center"/>
          </w:tcPr>
          <w:p>
            <w:pPr>
              <w:pStyle w:val="12"/>
            </w:pPr>
          </w:p>
        </w:tc>
        <w:tc>
          <w:tcPr>
            <w:tcW w:w="2551" w:type="dxa"/>
            <w:vAlign w:val="center"/>
          </w:tcPr>
          <w:p>
            <w:pPr>
              <w:pStyle w:val="12"/>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1.65</w:t>
            </w:r>
          </w:p>
        </w:tc>
        <w:tc>
          <w:tcPr>
            <w:tcW w:w="2551" w:type="dxa"/>
            <w:vAlign w:val="center"/>
          </w:tcPr>
          <w:p>
            <w:pPr>
              <w:pStyle w:val="12"/>
            </w:pPr>
          </w:p>
        </w:tc>
        <w:tc>
          <w:tcPr>
            <w:tcW w:w="2551" w:type="dxa"/>
            <w:vAlign w:val="center"/>
          </w:tcPr>
          <w:p>
            <w:pPr>
              <w:pStyle w:val="12"/>
            </w:pPr>
            <w:r>
              <w:t>1.65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1.56</w:t>
            </w:r>
          </w:p>
        </w:tc>
        <w:tc>
          <w:tcPr>
            <w:tcW w:w="2551" w:type="dxa"/>
            <w:vAlign w:val="center"/>
          </w:tcPr>
          <w:p>
            <w:pPr>
              <w:pStyle w:val="12"/>
            </w:pPr>
          </w:p>
        </w:tc>
        <w:tc>
          <w:tcPr>
            <w:tcW w:w="2551" w:type="dxa"/>
            <w:vAlign w:val="center"/>
          </w:tcPr>
          <w:p>
            <w:pPr>
              <w:pStyle w:val="12"/>
            </w:pPr>
            <w:r>
              <w:t>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3.45</w:t>
            </w:r>
          </w:p>
        </w:tc>
        <w:tc>
          <w:tcPr>
            <w:tcW w:w="2551" w:type="dxa"/>
            <w:vAlign w:val="center"/>
          </w:tcPr>
          <w:p>
            <w:pPr>
              <w:pStyle w:val="12"/>
            </w:pPr>
          </w:p>
        </w:tc>
        <w:tc>
          <w:tcPr>
            <w:tcW w:w="2551" w:type="dxa"/>
            <w:vAlign w:val="center"/>
          </w:tcPr>
          <w:p>
            <w:pPr>
              <w:pStyle w:val="12"/>
            </w:pPr>
            <w:r>
              <w:t>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0.33</w:t>
            </w:r>
          </w:p>
        </w:tc>
        <w:tc>
          <w:tcPr>
            <w:tcW w:w="2551" w:type="dxa"/>
            <w:vAlign w:val="center"/>
          </w:tcPr>
          <w:p>
            <w:pPr>
              <w:pStyle w:val="12"/>
            </w:pPr>
          </w:p>
        </w:tc>
        <w:tc>
          <w:tcPr>
            <w:tcW w:w="2551" w:type="dxa"/>
            <w:vAlign w:val="center"/>
          </w:tcPr>
          <w:p>
            <w:pPr>
              <w:pStyle w:val="12"/>
            </w:pPr>
            <w:r>
              <w:t>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9.89</w:t>
            </w:r>
          </w:p>
        </w:tc>
        <w:tc>
          <w:tcPr>
            <w:tcW w:w="2551" w:type="dxa"/>
            <w:vAlign w:val="center"/>
          </w:tcPr>
          <w:p>
            <w:pPr>
              <w:pStyle w:val="12"/>
            </w:pPr>
            <w:r>
              <w:t>9.89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9.89</w:t>
            </w:r>
          </w:p>
        </w:tc>
        <w:tc>
          <w:tcPr>
            <w:tcW w:w="2551" w:type="dxa"/>
            <w:vAlign w:val="center"/>
          </w:tcPr>
          <w:p>
            <w:pPr>
              <w:pStyle w:val="12"/>
            </w:pPr>
            <w:r>
              <w:t>9.89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437承德市双滦区信访局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437承德市双滦区信访局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437承德市双滦区信访局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2.28</w:t>
            </w:r>
          </w:p>
        </w:tc>
        <w:tc>
          <w:tcPr>
            <w:tcW w:w="2381" w:type="dxa"/>
            <w:vAlign w:val="center"/>
          </w:tcPr>
          <w:p>
            <w:pPr>
              <w:pStyle w:val="16"/>
            </w:pPr>
            <w:r>
              <w:t>2.28</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2.28</w:t>
            </w:r>
          </w:p>
        </w:tc>
        <w:tc>
          <w:tcPr>
            <w:tcW w:w="2381" w:type="dxa"/>
            <w:vAlign w:val="center"/>
          </w:tcPr>
          <w:p>
            <w:pPr>
              <w:pStyle w:val="12"/>
            </w:pPr>
            <w:r>
              <w:t>2.28</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0.28</w:t>
            </w:r>
          </w:p>
        </w:tc>
        <w:tc>
          <w:tcPr>
            <w:tcW w:w="2381" w:type="dxa"/>
            <w:vAlign w:val="center"/>
          </w:tcPr>
          <w:p>
            <w:pPr>
              <w:pStyle w:val="12"/>
            </w:pPr>
            <w:r>
              <w:t>0.28</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承德市双滦区信访局2025年部门预算信息公开情况说明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承德市双滦区信访局2025年部门预算信息公开情况说明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按照《中华人民共和国预算法》、《地方预决算公开操作规程》和《关于进一步推进预算公开工作的实施意见》规定，现将承德市双滦区信访局2025年部门预算公开如下：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（一）研究提出全区信访工作思路，拟定信访工作方针政策和规范性文件。</w:t>
      </w:r>
    </w:p>
    <w:p>
      <w:pPr>
        <w:pStyle w:val="18"/>
      </w:pPr>
      <w:r>
        <w:t>（二）办理人民群众来信、来电，接待群众来访，受理群众网上投诉，查办信访案件，承办区委书记、区长电子信箱日常工作，负责人民群众建议征集工作。</w:t>
      </w:r>
    </w:p>
    <w:p>
      <w:pPr>
        <w:pStyle w:val="18"/>
      </w:pPr>
      <w:r>
        <w:t>（三）调查研究和综合分析全区信访形势及信访工作状况，总结推广各镇、街道、部门信访工作经验，提出改进和加强信访工作的意见和建议。</w:t>
      </w:r>
    </w:p>
    <w:p>
      <w:pPr>
        <w:pStyle w:val="18"/>
      </w:pPr>
      <w:r>
        <w:t>（四）参与组织、协调、指导全区社会治安综合治理和维护社会政治稳定工作，协助保障国家和省、市、区重大政治活动顺利进行，参与处理影响社会政治稳定的突发性、群体性事件。</w:t>
      </w:r>
    </w:p>
    <w:p>
      <w:pPr>
        <w:pStyle w:val="18"/>
      </w:pPr>
      <w:r>
        <w:t>（五）督促检查和指导镇党委、政府，街道党工委、办事处和区直部门的信访工作。对镇党委、政府，街道党工委、办事处和区直有关部门信访工作年度责任目标进行考核，对全区社会治安综合治理和维护社会政治稳定年度责任目标中有关信访工作进行考核。</w:t>
      </w:r>
    </w:p>
    <w:p>
      <w:pPr>
        <w:pStyle w:val="18"/>
      </w:pPr>
      <w:r>
        <w:t>（六）协助国家、省、市信访局处理双滦区群众进京、赴省、到市上访工作，综合协调处理跨地区、跨部门、跨行业的重要信访问题，协助公安机关维护区委、区政府机关正常工作秩序。</w:t>
      </w:r>
    </w:p>
    <w:p>
      <w:pPr>
        <w:pStyle w:val="18"/>
      </w:pPr>
      <w:r>
        <w:t>（七）负责区级领导公开接访和包联案件的组织协调工作。</w:t>
      </w:r>
    </w:p>
    <w:p>
      <w:pPr>
        <w:pStyle w:val="18"/>
      </w:pPr>
      <w:r>
        <w:t>（八）承担双滦区信访工作联席会议的日常工作，督促落实联席会议决定的事项。</w:t>
      </w:r>
    </w:p>
    <w:p>
      <w:pPr>
        <w:pStyle w:val="18"/>
      </w:pPr>
      <w:r>
        <w:t>（九）协调处理群众进京上访工作；配合公安机关做好到非接待场所有关人员的劝返工作。</w:t>
      </w:r>
    </w:p>
    <w:p>
      <w:pPr>
        <w:pStyle w:val="18"/>
      </w:pPr>
      <w:r>
        <w:t>（十）承办区委、区政府以及国家、省、市信访局交办的其他任务。</w:t>
      </w:r>
    </w:p>
    <w:p>
      <w:pPr>
        <w:pStyle w:val="18"/>
      </w:pPr>
      <w:r>
        <w:t>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承德市双滦区信访局本级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按照预算管理有关规定，目前部门预算的编制实行综合预算管理，即全部收入和支出都反映在预算中。承德市双滦区信访局机关及所属事业单位的收支包含在部门预算中。</w:t>
      </w:r>
    </w:p>
    <w:p>
      <w:pPr>
        <w:pStyle w:val="19"/>
      </w:pPr>
      <w:r>
        <w:t>1、收入说明</w:t>
      </w:r>
    </w:p>
    <w:p>
      <w:pPr>
        <w:pStyle w:val="19"/>
      </w:pPr>
      <w:r>
        <w:t>反映本部门当年全部收入。2025年预算收入364.76万元，其中：一般公共预算收入364.76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承德市双滦区信访局年度部门预算中支出预算的总体情况。2025年支出预算364.76万元，其中基本支出195.76万元，包括人员经费165.64万元和日常公用经费30.12万元；项目支出169.00万元，主要为信访局专项业务费</w:t>
      </w:r>
    </w:p>
    <w:p>
      <w:pPr>
        <w:pStyle w:val="19"/>
      </w:pPr>
      <w:r>
        <w:t>3、比上年增减情况</w:t>
      </w:r>
    </w:p>
    <w:p>
      <w:pPr>
        <w:pStyle w:val="19"/>
      </w:pPr>
      <w:r>
        <w:t>2025年预算收支安排364.76万元，较2024年预算减少188.39万元，其中：基本支出增加11.61万元，主要为2025年在职人员工资晋升、各项保险调基补缴等经费增加。项目支出减少200.00万元，主要为2024年有一站式矛盾纠纷多元化解平台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2025年，我部门机关运行经费共计安排30.12万元，主要用于日常维修、办公用房水电费、办公用房取暖费、办公用房物业管理费等日常运行支出。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2.28万元，其中因公出国（境）费0.00万元；公务用车购置及运维费2.00万元（其中：公务用车购置费为0.00万元，公务用车运维费2.00万元)；公务接待费0.28万元。与2024年相比增加0.00万元，增减变化的主要原因是与2024年相比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信访工作的总体要求是：坚持以习近平新时代中国特色社会主义思想为指导，立足部门职责，聚焦“北京不去、河北不聚”目标，切实抓好规范信访基础业务、夯实基层基础、进京赴省访治理、信访积案化解工作，更好地服务经济发展和社会稳定，为谱写新时代全面建设经济强区、美丽双滦新篇章提供坚强信访保障。</w:t>
      </w:r>
    </w:p>
    <w:p>
      <w:pPr>
        <w:pStyle w:val="22"/>
      </w:pPr>
      <w:r>
        <w:t>（一）坚持党建统领全局。坚持党对信访工作的全面领导，立足于信访工作为民解难、为党分忧的政治责任,坚守政治属性、把握政治方向、落实政治要求,从机关建设和干部队伍建设着手，全面提升依法依规履职尽责能力,确保信访工作的正确政治方向。落实意识形态工作责任，牢牢掌握意识形态主动权。</w:t>
      </w:r>
    </w:p>
    <w:p>
      <w:pPr>
        <w:pStyle w:val="22"/>
      </w:pPr>
      <w:r>
        <w:t xml:space="preserve">（二）强化进京赴省访治理。针对进京赴省访、到非接待场所有关人员上访等重要信访事项，一手抓属地稳定，一手抓劝返工作，两手齐抓，两手共硬，确保进京赴省访低位水平 </w:t>
      </w:r>
    </w:p>
    <w:p>
      <w:pPr>
        <w:pStyle w:val="22"/>
      </w:pPr>
      <w:r>
        <w:t xml:space="preserve">（三）推进信访积案化解工作。压实工作责任，落实重点约访、专题接访、带案下访、下基层接访，持续开展全区重点信访案件化解和专项整治攻坚行动，实现案结事了、事心双解。  </w:t>
      </w:r>
    </w:p>
    <w:p>
      <w:pPr>
        <w:pStyle w:val="22"/>
      </w:pPr>
      <w:r>
        <w:t>（四）做好敏感时期信访服务保障工作。严格落实各项战时举措，继续保持目标不变、标准不降、要求不松、干劲不减，确保敏感时期“三个不发生”目标。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（一）强化隐患排查化解。</w:t>
      </w:r>
    </w:p>
    <w:p>
      <w:pPr>
        <w:pStyle w:val="23"/>
      </w:pPr>
      <w:r>
        <w:t xml:space="preserve">绩效目标：做到排查无缝隙、全覆盖,避免矛盾上行。 </w:t>
      </w:r>
    </w:p>
    <w:p>
      <w:pPr>
        <w:pStyle w:val="23"/>
      </w:pPr>
      <w:r>
        <w:t>绩效指标：密织排查网络，动员社会力量参与，加大排查力度，开展横向到边、纵向到底、拉网式、地毯式排查。</w:t>
      </w:r>
    </w:p>
    <w:p>
      <w:pPr>
        <w:pStyle w:val="23"/>
      </w:pPr>
      <w:r>
        <w:t>（二）强化信访案件化解。</w:t>
      </w:r>
    </w:p>
    <w:p>
      <w:pPr>
        <w:pStyle w:val="23"/>
      </w:pPr>
      <w:r>
        <w:t>绩效目标：以“事要解决”为核心，进一步压实化解责任，力争实现信访问题“清仓见底”。</w:t>
      </w:r>
    </w:p>
    <w:p>
      <w:pPr>
        <w:pStyle w:val="23"/>
      </w:pPr>
      <w:r>
        <w:t>绩效指标：按照“属地管理、分级负责、分类处理”及“谁主管、谁负责”原则，对重点信访隐患逐项分析，找准症结，研究对策，制定工作方案。信访案件及时受理率100%，信访事项按期办结率100%，上级交办案件按期办结率100%。</w:t>
      </w:r>
    </w:p>
    <w:p>
      <w:pPr>
        <w:pStyle w:val="23"/>
      </w:pPr>
      <w:r>
        <w:t>（三）强化依法打击处置。</w:t>
      </w:r>
    </w:p>
    <w:p>
      <w:pPr>
        <w:pStyle w:val="23"/>
      </w:pPr>
      <w:r>
        <w:t>绩效目标：加大对依法打击处置工作和典型案例的曝光力度，教育引导上访群众依法维权，形成正确的舆论导向。</w:t>
      </w:r>
    </w:p>
    <w:p>
      <w:pPr>
        <w:pStyle w:val="23"/>
      </w:pPr>
      <w:r>
        <w:t>绩效指标：不断加大对违法上访和煽动串联到北京集体访的幕后操纵者、组织者、扛旗者的依法打击力度，依法维护正常的信访秩序。加强与各责任单位、公安部门的协作配合，形成依法处置的工作合力。及时搜集固定证据，营造依法治访的浓厚氛围，树立依法治访的正确导向。</w:t>
      </w:r>
    </w:p>
    <w:p>
      <w:pPr>
        <w:pStyle w:val="23"/>
      </w:pPr>
      <w:r>
        <w:t>（四）坚持疏堵结合。</w:t>
      </w:r>
    </w:p>
    <w:p>
      <w:pPr>
        <w:pStyle w:val="23"/>
      </w:pPr>
      <w:r>
        <w:t>绩效目标：坚决落实好属地稳控责任，扎扎实实做好信访维稳工作。</w:t>
      </w:r>
    </w:p>
    <w:p>
      <w:pPr>
        <w:pStyle w:val="23"/>
      </w:pPr>
      <w:r>
        <w:t>绩效指标：坚持“疏堵结合”，一是做好今年全国“两会”等重要敏感时期值班、值守及接劝访工作，当好首都政治护城河。二是在做好“人防”的同时，提升信息中心“技防”水平，确保万无一失。三是在坚持律师参与公开接访的基础上，聘请调解能力强的法律专业人员，参与矛盾纠纷化解调处。</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坚持依法按政策解决问题，切实维护群众合法权益。加大对《河北省信访条例》及有关法律法规的宣传力度，切实做好释疑解惑、疏导情绪、化解矛盾的工作。要在政策制定中统筹兼顾各方面利益。坚持科学决策、民主决策、依法决策，在制定政策时充分听取各方面意见建议；要认真解决群众合理诉求</w:t>
      </w:r>
    </w:p>
    <w:p>
      <w:pPr>
        <w:pStyle w:val="24"/>
      </w:pPr>
      <w:r>
        <w:t>（二）建立长效工作机制，提高信访工作效率和管理水平。建立健全信访工作综合协调机制。充分发挥联席会议、信访工作领导小组和信访部门的综合协调指导作用，形成上下联动、左右协调、运转高效、综合施治的工作机制；建立健全信访问题排查化解机制。</w:t>
      </w:r>
    </w:p>
    <w:p>
      <w:pPr>
        <w:pStyle w:val="24"/>
      </w:pPr>
      <w:r>
        <w:t>（三）加强支出管理。通过优化支出结构、编细编实预算、加快履行政府采购手续、及时支付资金，确保支出进度达标。</w:t>
      </w:r>
    </w:p>
    <w:p>
      <w:pPr>
        <w:pStyle w:val="24"/>
      </w:pPr>
      <w:r>
        <w:t>（四）加强绩效运行监控。按要求开展绩效运行监控，发现问题及时采取措施，确保绩效目标如期保质实现。</w:t>
      </w:r>
    </w:p>
    <w:p>
      <w:pPr>
        <w:pStyle w:val="24"/>
        <w:sectPr>
          <w:pgSz w:w="16840" w:h="11900" w:orient="landscape"/>
          <w:pgMar w:top="1361" w:right="1020" w:bottom="1361" w:left="1020" w:header="720" w:footer="720" w:gutter="0"/>
          <w:cols w:space="720" w:num="1"/>
        </w:sectPr>
      </w:pPr>
      <w:r>
        <w:t>（五）做好绩效自评。按要求开展上年度部门预算绩效自评和重点评价工作，对评价中发现的问题及时整改，调整优化支出结构，提高财政资金使用效益。</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1、信访局专项业务费绩效目标表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13080325P000163100335</w:t>
            </w:r>
          </w:p>
        </w:tc>
        <w:tc>
          <w:tcPr>
            <w:tcW w:w="2835" w:type="dxa"/>
            <w:vAlign w:val="center"/>
          </w:tcPr>
          <w:p>
            <w:pPr>
              <w:pStyle w:val="11"/>
            </w:pPr>
            <w:r>
              <w:t>项目名称</w:t>
            </w:r>
          </w:p>
        </w:tc>
        <w:tc>
          <w:tcPr>
            <w:tcW w:w="6095" w:type="dxa"/>
            <w:gridSpan w:val="3"/>
            <w:vAlign w:val="center"/>
          </w:tcPr>
          <w:p>
            <w:pPr>
              <w:pStyle w:val="13"/>
            </w:pPr>
            <w:r>
              <w:t>信访局专项业务费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169.00</w:t>
            </w:r>
          </w:p>
        </w:tc>
        <w:tc>
          <w:tcPr>
            <w:tcW w:w="2835" w:type="dxa"/>
            <w:vAlign w:val="center"/>
          </w:tcPr>
          <w:p>
            <w:pPr>
              <w:pStyle w:val="11"/>
            </w:pPr>
            <w:r>
              <w:t>其中：财政    资金</w:t>
            </w:r>
          </w:p>
        </w:tc>
        <w:tc>
          <w:tcPr>
            <w:tcW w:w="2551" w:type="dxa"/>
            <w:vAlign w:val="center"/>
          </w:tcPr>
          <w:p>
            <w:pPr>
              <w:pStyle w:val="13"/>
            </w:pPr>
            <w:r>
              <w:t>169.00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提高信访问题办理质量和效率，力争把信访问题解决在当地，维护全区和谐稳定。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1.提高信访问题办理质量和效率，力争把信访问题解决在当地，维护全区和谐稳定，以双滦之稳促承德市之稳，发挥守卫北京政治护城河作用，为全区经济社会发展营造和谐稳定的社会环境。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领导包联化解案件数</w:t>
            </w:r>
          </w:p>
        </w:tc>
        <w:tc>
          <w:tcPr>
            <w:tcW w:w="5386" w:type="dxa"/>
            <w:vAlign w:val="center"/>
          </w:tcPr>
          <w:p>
            <w:pPr>
              <w:pStyle w:val="13"/>
            </w:pPr>
            <w:r>
              <w:t>省、市、区领导包联化解案件总数</w:t>
            </w:r>
          </w:p>
        </w:tc>
        <w:tc>
          <w:tcPr>
            <w:tcW w:w="2268" w:type="dxa"/>
            <w:vAlign w:val="center"/>
          </w:tcPr>
          <w:p>
            <w:pPr>
              <w:pStyle w:val="13"/>
            </w:pPr>
            <w:r>
              <w:t>≥25件</w:t>
            </w:r>
          </w:p>
        </w:tc>
        <w:tc>
          <w:tcPr>
            <w:tcW w:w="1276" w:type="dxa"/>
            <w:vAlign w:val="center"/>
          </w:tcPr>
          <w:p>
            <w:pPr>
              <w:pStyle w:val="13"/>
            </w:pPr>
            <w:r>
              <w:t>根据本部门职责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阳光信访平台上按期答复率</w:t>
            </w:r>
          </w:p>
        </w:tc>
        <w:tc>
          <w:tcPr>
            <w:tcW w:w="5386" w:type="dxa"/>
            <w:vAlign w:val="center"/>
          </w:tcPr>
          <w:p>
            <w:pPr>
              <w:pStyle w:val="13"/>
            </w:pPr>
            <w:r>
              <w:t>阳光信访平台上已答复案件数/应答复案件数</w:t>
            </w:r>
          </w:p>
        </w:tc>
        <w:tc>
          <w:tcPr>
            <w:tcW w:w="2268" w:type="dxa"/>
            <w:vAlign w:val="center"/>
          </w:tcPr>
          <w:p>
            <w:pPr>
              <w:pStyle w:val="13"/>
            </w:pPr>
            <w:r>
              <w:t>≥95%</w:t>
            </w:r>
          </w:p>
        </w:tc>
        <w:tc>
          <w:tcPr>
            <w:tcW w:w="1276" w:type="dxa"/>
            <w:vAlign w:val="center"/>
          </w:tcPr>
          <w:p>
            <w:pPr>
              <w:pStyle w:val="13"/>
            </w:pPr>
            <w:r>
              <w:t>根据本部门职责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阳光信访平台上及时受理案件</w:t>
            </w:r>
          </w:p>
        </w:tc>
        <w:tc>
          <w:tcPr>
            <w:tcW w:w="5386" w:type="dxa"/>
            <w:vAlign w:val="center"/>
          </w:tcPr>
          <w:p>
            <w:pPr>
              <w:pStyle w:val="13"/>
            </w:pPr>
            <w:r>
              <w:t>阳光信访平台上案件及时受理</w:t>
            </w:r>
          </w:p>
        </w:tc>
        <w:tc>
          <w:tcPr>
            <w:tcW w:w="2268" w:type="dxa"/>
            <w:vAlign w:val="center"/>
          </w:tcPr>
          <w:p>
            <w:pPr>
              <w:pStyle w:val="13"/>
            </w:pPr>
            <w:r>
              <w:t>12月31日前完成（每个案件受理时间不超过15天）</w:t>
            </w:r>
          </w:p>
        </w:tc>
        <w:tc>
          <w:tcPr>
            <w:tcW w:w="1276" w:type="dxa"/>
            <w:vAlign w:val="center"/>
          </w:tcPr>
          <w:p>
            <w:pPr>
              <w:pStyle w:val="13"/>
            </w:pPr>
            <w:r>
              <w:t>根据本部门职责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支出总成本</w:t>
            </w:r>
          </w:p>
        </w:tc>
        <w:tc>
          <w:tcPr>
            <w:tcW w:w="5386" w:type="dxa"/>
            <w:vAlign w:val="center"/>
          </w:tcPr>
          <w:p>
            <w:pPr>
              <w:pStyle w:val="13"/>
            </w:pPr>
            <w:r>
              <w:t>支出总成本不超过预算数</w:t>
            </w:r>
          </w:p>
        </w:tc>
        <w:tc>
          <w:tcPr>
            <w:tcW w:w="2268" w:type="dxa"/>
            <w:vAlign w:val="center"/>
          </w:tcPr>
          <w:p>
            <w:pPr>
              <w:pStyle w:val="13"/>
            </w:pPr>
            <w:r>
              <w:t>≤169万元</w:t>
            </w:r>
          </w:p>
        </w:tc>
        <w:tc>
          <w:tcPr>
            <w:tcW w:w="1276" w:type="dxa"/>
            <w:vAlign w:val="center"/>
          </w:tcPr>
          <w:p>
            <w:pPr>
              <w:pStyle w:val="13"/>
            </w:pPr>
            <w:r>
              <w:t>根据本部门职责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降低社会不稳定因素</w:t>
            </w:r>
          </w:p>
        </w:tc>
        <w:tc>
          <w:tcPr>
            <w:tcW w:w="5386" w:type="dxa"/>
            <w:vAlign w:val="center"/>
          </w:tcPr>
          <w:p>
            <w:pPr>
              <w:pStyle w:val="13"/>
            </w:pPr>
            <w:r>
              <w:t>降低社会不稳定因素</w:t>
            </w:r>
          </w:p>
        </w:tc>
        <w:tc>
          <w:tcPr>
            <w:tcW w:w="2268" w:type="dxa"/>
            <w:vAlign w:val="center"/>
          </w:tcPr>
          <w:p>
            <w:pPr>
              <w:pStyle w:val="13"/>
            </w:pPr>
            <w:r>
              <w:t>有效改善</w:t>
            </w:r>
          </w:p>
        </w:tc>
        <w:tc>
          <w:tcPr>
            <w:tcW w:w="1276" w:type="dxa"/>
            <w:vAlign w:val="center"/>
          </w:tcPr>
          <w:p>
            <w:pPr>
              <w:pStyle w:val="13"/>
            </w:pPr>
            <w:r>
              <w:t>根据本部门职责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引导群众依法理性维权</w:t>
            </w:r>
          </w:p>
        </w:tc>
        <w:tc>
          <w:tcPr>
            <w:tcW w:w="5386" w:type="dxa"/>
            <w:vAlign w:val="center"/>
          </w:tcPr>
          <w:p>
            <w:pPr>
              <w:pStyle w:val="13"/>
            </w:pPr>
            <w:r>
              <w:t>引导群众依法有序信访，理性维权</w:t>
            </w:r>
          </w:p>
        </w:tc>
        <w:tc>
          <w:tcPr>
            <w:tcW w:w="2268" w:type="dxa"/>
            <w:vAlign w:val="center"/>
          </w:tcPr>
          <w:p>
            <w:pPr>
              <w:pStyle w:val="13"/>
            </w:pPr>
            <w:r>
              <w:t>有效营造</w:t>
            </w:r>
          </w:p>
        </w:tc>
        <w:tc>
          <w:tcPr>
            <w:tcW w:w="1276" w:type="dxa"/>
            <w:vAlign w:val="center"/>
          </w:tcPr>
          <w:p>
            <w:pPr>
              <w:pStyle w:val="13"/>
            </w:pPr>
            <w:r>
              <w:t>根据本部门职责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长期促进社会和谐</w:t>
            </w:r>
          </w:p>
        </w:tc>
        <w:tc>
          <w:tcPr>
            <w:tcW w:w="5386" w:type="dxa"/>
            <w:vAlign w:val="center"/>
          </w:tcPr>
          <w:p>
            <w:pPr>
              <w:pStyle w:val="13"/>
            </w:pPr>
            <w:r>
              <w:t>通过开展信访维稳工作，进一步扩大影响，长期促进社会和谐</w:t>
            </w:r>
          </w:p>
        </w:tc>
        <w:tc>
          <w:tcPr>
            <w:tcW w:w="2268" w:type="dxa"/>
            <w:vAlign w:val="center"/>
          </w:tcPr>
          <w:p>
            <w:pPr>
              <w:pStyle w:val="13"/>
            </w:pPr>
            <w:r>
              <w:t>长期促进</w:t>
            </w:r>
          </w:p>
        </w:tc>
        <w:tc>
          <w:tcPr>
            <w:tcW w:w="1276" w:type="dxa"/>
            <w:vAlign w:val="center"/>
          </w:tcPr>
          <w:p>
            <w:pPr>
              <w:pStyle w:val="13"/>
            </w:pPr>
            <w:r>
              <w:t>根据本部门职责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信访群众合理诉求得到妥善解决</w:t>
            </w:r>
          </w:p>
        </w:tc>
        <w:tc>
          <w:tcPr>
            <w:tcW w:w="5386" w:type="dxa"/>
            <w:vAlign w:val="center"/>
          </w:tcPr>
          <w:p>
            <w:pPr>
              <w:pStyle w:val="13"/>
            </w:pPr>
            <w:r>
              <w:t>信访群众合理诉求得到妥善解决</w:t>
            </w:r>
          </w:p>
        </w:tc>
        <w:tc>
          <w:tcPr>
            <w:tcW w:w="2268" w:type="dxa"/>
            <w:vAlign w:val="center"/>
          </w:tcPr>
          <w:p>
            <w:pPr>
              <w:pStyle w:val="13"/>
            </w:pPr>
            <w:r>
              <w:t>≥70%</w:t>
            </w:r>
          </w:p>
        </w:tc>
        <w:tc>
          <w:tcPr>
            <w:tcW w:w="1276" w:type="dxa"/>
            <w:vAlign w:val="center"/>
          </w:tcPr>
          <w:p>
            <w:pPr>
              <w:pStyle w:val="13"/>
            </w:pPr>
            <w:r>
              <w:t>根据本部门职责</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437承德市双滦区信访局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承德市双滦区信访局（含所属单位）上年末固定资产金额为340.78万元（详见下表）。本年度拟购置固定资产总额为0.00万元，已按要求列入政府采购预算，详见政府采购预算表。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437承德市双滦区信访局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340.78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19.32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2</w:t>
            </w:r>
          </w:p>
        </w:tc>
        <w:tc>
          <w:tcPr>
            <w:tcW w:w="2835" w:type="dxa"/>
            <w:vAlign w:val="center"/>
          </w:tcPr>
          <w:p>
            <w:pPr>
              <w:pStyle w:val="12"/>
            </w:pPr>
            <w:r>
              <w:t>190.00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540</w:t>
            </w:r>
          </w:p>
        </w:tc>
        <w:tc>
          <w:tcPr>
            <w:tcW w:w="2835" w:type="dxa"/>
            <w:vAlign w:val="center"/>
          </w:tcPr>
          <w:p>
            <w:pPr>
              <w:pStyle w:val="12"/>
            </w:pPr>
            <w:r>
              <w:t>131.46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2564D"/>
    <w:rsid w:val="35AB7AB4"/>
    <w:rsid w:val="793A538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TotalTime>1</TotalTime>
  <ScaleCrop>false</ScaleCrop>
  <LinksUpToDate>false</LinksUpToDate>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2025-03-14T15:41:00Z</dcterms:created>
  <dc:creator>Administrator</dc:creator>
  <cp:lastModifiedBy>Administrator</cp:lastModifiedBy>
  <dcterms:modified xsi:type="dcterms:W3CDTF">2025-03-14T07:45:54Z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E347ECC5EC624BBEABCB2081C2F37CE3</vt:lpwstr>
  </property>
</Properties>
</file>