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一、承德市双滦区信访局本级收支预算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一、承德市双滦区信访局本级收支预算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437001承德市双滦区信访局本级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364.76</w:t>
            </w:r>
          </w:p>
        </w:tc>
        <w:tc>
          <w:tcPr>
            <w:tcW w:w="4535" w:type="dxa"/>
            <w:vAlign w:val="center"/>
          </w:tcPr>
          <w:p>
            <w:pPr>
              <w:pStyle w:val="12"/>
            </w:pPr>
            <w:r>
              <w:t>一、一般公共服务支出</w:t>
            </w:r>
          </w:p>
        </w:tc>
        <w:tc>
          <w:tcPr>
            <w:tcW w:w="2126" w:type="dxa"/>
            <w:vAlign w:val="center"/>
          </w:tcPr>
          <w:p>
            <w:pPr>
              <w:pStyle w:val="11"/>
            </w:pPr>
            <w:r>
              <w:t>315.55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364.76</w:t>
            </w:r>
          </w:p>
        </w:tc>
        <w:tc>
          <w:tcPr>
            <w:tcW w:w="4535" w:type="dxa"/>
            <w:vAlign w:val="center"/>
          </w:tcPr>
          <w:p>
            <w:pPr>
              <w:pStyle w:val="14"/>
            </w:pPr>
            <w:r>
              <w:t>本年支出合计</w:t>
            </w:r>
          </w:p>
        </w:tc>
        <w:tc>
          <w:tcPr>
            <w:tcW w:w="2126" w:type="dxa"/>
            <w:vAlign w:val="center"/>
          </w:tcPr>
          <w:p>
            <w:pPr>
              <w:pStyle w:val="15"/>
            </w:pPr>
            <w:r>
              <w:t>364.76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364.76</w:t>
            </w:r>
          </w:p>
        </w:tc>
        <w:tc>
          <w:tcPr>
            <w:tcW w:w="4535" w:type="dxa"/>
            <w:vAlign w:val="center"/>
          </w:tcPr>
          <w:p>
            <w:pPr>
              <w:pStyle w:val="14"/>
            </w:pPr>
            <w:r>
              <w:t>支出总计</w:t>
            </w:r>
          </w:p>
        </w:tc>
        <w:tc>
          <w:tcPr>
            <w:tcW w:w="2126" w:type="dxa"/>
            <w:vAlign w:val="center"/>
          </w:tcPr>
          <w:p>
            <w:pPr>
              <w:pStyle w:val="15"/>
            </w:pPr>
            <w:r>
              <w:t>364.76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437001承德市双滦区信访局本级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364.76</w:t>
            </w:r>
          </w:p>
        </w:tc>
        <w:tc>
          <w:tcPr>
            <w:tcW w:w="1134" w:type="dxa"/>
            <w:vAlign w:val="center"/>
          </w:tcPr>
          <w:p>
            <w:pPr>
              <w:pStyle w:val="15"/>
            </w:pPr>
            <w:r>
              <w:t>364.76</w:t>
            </w:r>
          </w:p>
        </w:tc>
        <w:tc>
          <w:tcPr>
            <w:tcW w:w="1134" w:type="dxa"/>
            <w:vAlign w:val="center"/>
          </w:tcPr>
          <w:p>
            <w:pPr>
              <w:pStyle w:val="15"/>
            </w:pPr>
            <w:r>
              <w:t>364.76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315.55</w:t>
            </w:r>
          </w:p>
        </w:tc>
        <w:tc>
          <w:tcPr>
            <w:tcW w:w="1134" w:type="dxa"/>
            <w:vAlign w:val="center"/>
          </w:tcPr>
          <w:p>
            <w:pPr>
              <w:pStyle w:val="11"/>
            </w:pPr>
            <w:r>
              <w:t>315.55</w:t>
            </w:r>
          </w:p>
        </w:tc>
        <w:tc>
          <w:tcPr>
            <w:tcW w:w="1134" w:type="dxa"/>
            <w:vAlign w:val="center"/>
          </w:tcPr>
          <w:p>
            <w:pPr>
              <w:pStyle w:val="11"/>
            </w:pPr>
            <w:r>
              <w:t>315.55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315.55</w:t>
            </w:r>
          </w:p>
        </w:tc>
        <w:tc>
          <w:tcPr>
            <w:tcW w:w="1134" w:type="dxa"/>
            <w:vAlign w:val="center"/>
          </w:tcPr>
          <w:p>
            <w:pPr>
              <w:pStyle w:val="11"/>
            </w:pPr>
            <w:r>
              <w:t>315.55</w:t>
            </w:r>
          </w:p>
        </w:tc>
        <w:tc>
          <w:tcPr>
            <w:tcW w:w="1134" w:type="dxa"/>
            <w:vAlign w:val="center"/>
          </w:tcPr>
          <w:p>
            <w:pPr>
              <w:pStyle w:val="11"/>
            </w:pPr>
            <w:r>
              <w:t>315.55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146.55</w:t>
            </w:r>
          </w:p>
        </w:tc>
        <w:tc>
          <w:tcPr>
            <w:tcW w:w="1134" w:type="dxa"/>
            <w:vAlign w:val="center"/>
          </w:tcPr>
          <w:p>
            <w:pPr>
              <w:pStyle w:val="11"/>
            </w:pPr>
            <w:r>
              <w:t>146.55</w:t>
            </w:r>
          </w:p>
        </w:tc>
        <w:tc>
          <w:tcPr>
            <w:tcW w:w="1134" w:type="dxa"/>
            <w:vAlign w:val="center"/>
          </w:tcPr>
          <w:p>
            <w:pPr>
              <w:pStyle w:val="11"/>
            </w:pPr>
            <w:r>
              <w:t>146.55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2014099</w:t>
            </w:r>
          </w:p>
        </w:tc>
        <w:tc>
          <w:tcPr>
            <w:tcW w:w="1559" w:type="dxa"/>
            <w:vAlign w:val="center"/>
          </w:tcPr>
          <w:p>
            <w:pPr>
              <w:pStyle w:val="12"/>
            </w:pPr>
            <w:r>
              <w:t>其他信访事务支出</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27.60</w:t>
            </w:r>
          </w:p>
        </w:tc>
        <w:tc>
          <w:tcPr>
            <w:tcW w:w="1134" w:type="dxa"/>
            <w:vAlign w:val="center"/>
          </w:tcPr>
          <w:p>
            <w:pPr>
              <w:pStyle w:val="11"/>
            </w:pPr>
            <w:r>
              <w:t>27.60</w:t>
            </w:r>
          </w:p>
        </w:tc>
        <w:tc>
          <w:tcPr>
            <w:tcW w:w="1134" w:type="dxa"/>
            <w:vAlign w:val="center"/>
          </w:tcPr>
          <w:p>
            <w:pPr>
              <w:pStyle w:val="11"/>
            </w:pPr>
            <w:r>
              <w:t>27.60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r>
              <w:t>26.61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r>
              <w:t>10.01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0.99</w:t>
            </w:r>
          </w:p>
        </w:tc>
        <w:tc>
          <w:tcPr>
            <w:tcW w:w="1134" w:type="dxa"/>
            <w:vAlign w:val="center"/>
          </w:tcPr>
          <w:p>
            <w:pPr>
              <w:pStyle w:val="11"/>
            </w:pPr>
            <w:r>
              <w:t>0.99</w:t>
            </w:r>
          </w:p>
        </w:tc>
        <w:tc>
          <w:tcPr>
            <w:tcW w:w="1134" w:type="dxa"/>
            <w:vAlign w:val="center"/>
          </w:tcPr>
          <w:p>
            <w:pPr>
              <w:pStyle w:val="11"/>
            </w:pPr>
            <w:r>
              <w:t>0.99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0.37</w:t>
            </w:r>
          </w:p>
        </w:tc>
        <w:tc>
          <w:tcPr>
            <w:tcW w:w="1134" w:type="dxa"/>
            <w:vAlign w:val="center"/>
          </w:tcPr>
          <w:p>
            <w:pPr>
              <w:pStyle w:val="11"/>
            </w:pPr>
            <w:r>
              <w:t>0.37</w:t>
            </w:r>
          </w:p>
        </w:tc>
        <w:tc>
          <w:tcPr>
            <w:tcW w:w="1134" w:type="dxa"/>
            <w:vAlign w:val="center"/>
          </w:tcPr>
          <w:p>
            <w:pPr>
              <w:pStyle w:val="11"/>
            </w:pPr>
            <w:r>
              <w:t>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r>
              <w:t>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7.60</w:t>
            </w:r>
          </w:p>
        </w:tc>
        <w:tc>
          <w:tcPr>
            <w:tcW w:w="1134" w:type="dxa"/>
            <w:vAlign w:val="center"/>
          </w:tcPr>
          <w:p>
            <w:pPr>
              <w:pStyle w:val="11"/>
            </w:pPr>
            <w:r>
              <w:t>7.60</w:t>
            </w:r>
          </w:p>
        </w:tc>
        <w:tc>
          <w:tcPr>
            <w:tcW w:w="1134" w:type="dxa"/>
            <w:vAlign w:val="center"/>
          </w:tcPr>
          <w:p>
            <w:pPr>
              <w:pStyle w:val="11"/>
            </w:pPr>
            <w:r>
              <w:t>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364.76</w:t>
            </w:r>
          </w:p>
        </w:tc>
        <w:tc>
          <w:tcPr>
            <w:tcW w:w="1361" w:type="dxa"/>
            <w:vAlign w:val="center"/>
          </w:tcPr>
          <w:p>
            <w:pPr>
              <w:pStyle w:val="15"/>
            </w:pPr>
            <w:r>
              <w:t>195.76</w:t>
            </w:r>
          </w:p>
        </w:tc>
        <w:tc>
          <w:tcPr>
            <w:tcW w:w="1361" w:type="dxa"/>
            <w:vAlign w:val="center"/>
          </w:tcPr>
          <w:p>
            <w:pPr>
              <w:pStyle w:val="15"/>
            </w:pPr>
            <w:r>
              <w:t>169.00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315.55</w:t>
            </w:r>
          </w:p>
        </w:tc>
        <w:tc>
          <w:tcPr>
            <w:tcW w:w="1361" w:type="dxa"/>
            <w:vAlign w:val="center"/>
          </w:tcPr>
          <w:p>
            <w:pPr>
              <w:pStyle w:val="11"/>
            </w:pPr>
            <w:r>
              <w:t>146.55</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315.55</w:t>
            </w:r>
          </w:p>
        </w:tc>
        <w:tc>
          <w:tcPr>
            <w:tcW w:w="1361" w:type="dxa"/>
            <w:vAlign w:val="center"/>
          </w:tcPr>
          <w:p>
            <w:pPr>
              <w:pStyle w:val="11"/>
            </w:pPr>
            <w:r>
              <w:t>146.55</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146.55</w:t>
            </w:r>
          </w:p>
        </w:tc>
        <w:tc>
          <w:tcPr>
            <w:tcW w:w="1361" w:type="dxa"/>
            <w:vAlign w:val="center"/>
          </w:tcPr>
          <w:p>
            <w:pPr>
              <w:pStyle w:val="11"/>
            </w:pPr>
            <w:r>
              <w:t>146.55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2014099</w:t>
            </w:r>
          </w:p>
        </w:tc>
        <w:tc>
          <w:tcPr>
            <w:tcW w:w="4535" w:type="dxa"/>
            <w:vAlign w:val="center"/>
          </w:tcPr>
          <w:p>
            <w:pPr>
              <w:pStyle w:val="12"/>
            </w:pPr>
            <w:r>
              <w:t>其他信访事务支出</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27.60</w:t>
            </w:r>
          </w:p>
        </w:tc>
        <w:tc>
          <w:tcPr>
            <w:tcW w:w="1361" w:type="dxa"/>
            <w:vAlign w:val="center"/>
          </w:tcPr>
          <w:p>
            <w:pPr>
              <w:pStyle w:val="11"/>
            </w:pPr>
            <w:r>
              <w:t>27.60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26.61</w:t>
            </w:r>
          </w:p>
        </w:tc>
        <w:tc>
          <w:tcPr>
            <w:tcW w:w="1361" w:type="dxa"/>
            <w:vAlign w:val="center"/>
          </w:tcPr>
          <w:p>
            <w:pPr>
              <w:pStyle w:val="11"/>
            </w:pPr>
            <w:r>
              <w:t>26.61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10.01</w:t>
            </w:r>
          </w:p>
        </w:tc>
        <w:tc>
          <w:tcPr>
            <w:tcW w:w="1361" w:type="dxa"/>
            <w:vAlign w:val="center"/>
          </w:tcPr>
          <w:p>
            <w:pPr>
              <w:pStyle w:val="11"/>
            </w:pPr>
            <w:r>
              <w:t>10.01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0.99</w:t>
            </w:r>
          </w:p>
        </w:tc>
        <w:tc>
          <w:tcPr>
            <w:tcW w:w="1361" w:type="dxa"/>
            <w:vAlign w:val="center"/>
          </w:tcPr>
          <w:p>
            <w:pPr>
              <w:pStyle w:val="11"/>
            </w:pPr>
            <w:r>
              <w:t>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2082701</w:t>
            </w:r>
          </w:p>
        </w:tc>
        <w:tc>
          <w:tcPr>
            <w:tcW w:w="4535" w:type="dxa"/>
            <w:vAlign w:val="center"/>
          </w:tcPr>
          <w:p>
            <w:pPr>
              <w:pStyle w:val="12"/>
            </w:pPr>
            <w:r>
              <w:t>财政对失业保险基金的补助</w:t>
            </w:r>
          </w:p>
        </w:tc>
        <w:tc>
          <w:tcPr>
            <w:tcW w:w="1361" w:type="dxa"/>
            <w:vAlign w:val="center"/>
          </w:tcPr>
          <w:p>
            <w:pPr>
              <w:pStyle w:val="11"/>
            </w:pPr>
            <w:r>
              <w:t>0.37</w:t>
            </w:r>
          </w:p>
        </w:tc>
        <w:tc>
          <w:tcPr>
            <w:tcW w:w="1361" w:type="dxa"/>
            <w:vAlign w:val="center"/>
          </w:tcPr>
          <w:p>
            <w:pPr>
              <w:pStyle w:val="11"/>
            </w:pPr>
            <w:r>
              <w:t>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0.62</w:t>
            </w:r>
          </w:p>
        </w:tc>
        <w:tc>
          <w:tcPr>
            <w:tcW w:w="1361" w:type="dxa"/>
            <w:vAlign w:val="center"/>
          </w:tcPr>
          <w:p>
            <w:pPr>
              <w:pStyle w:val="11"/>
            </w:pPr>
            <w:r>
              <w:t>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8.60</w:t>
            </w:r>
          </w:p>
        </w:tc>
        <w:tc>
          <w:tcPr>
            <w:tcW w:w="1361" w:type="dxa"/>
            <w:vAlign w:val="center"/>
          </w:tcPr>
          <w:p>
            <w:pPr>
              <w:pStyle w:val="11"/>
            </w:pPr>
            <w:r>
              <w:t>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8.60</w:t>
            </w:r>
          </w:p>
        </w:tc>
        <w:tc>
          <w:tcPr>
            <w:tcW w:w="1361" w:type="dxa"/>
            <w:vAlign w:val="center"/>
          </w:tcPr>
          <w:p>
            <w:pPr>
              <w:pStyle w:val="11"/>
            </w:pPr>
            <w:r>
              <w:t>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7.60</w:t>
            </w:r>
          </w:p>
        </w:tc>
        <w:tc>
          <w:tcPr>
            <w:tcW w:w="1361" w:type="dxa"/>
            <w:vAlign w:val="center"/>
          </w:tcPr>
          <w:p>
            <w:pPr>
              <w:pStyle w:val="11"/>
            </w:pPr>
            <w:r>
              <w:t>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364.76</w:t>
            </w:r>
          </w:p>
        </w:tc>
        <w:tc>
          <w:tcPr>
            <w:tcW w:w="3402" w:type="dxa"/>
            <w:vAlign w:val="center"/>
          </w:tcPr>
          <w:p>
            <w:pPr>
              <w:pStyle w:val="12"/>
            </w:pPr>
            <w:r>
              <w:t>一、一般公共服务支出</w:t>
            </w:r>
          </w:p>
        </w:tc>
        <w:tc>
          <w:tcPr>
            <w:tcW w:w="1474" w:type="dxa"/>
            <w:vAlign w:val="center"/>
          </w:tcPr>
          <w:p>
            <w:pPr>
              <w:pStyle w:val="11"/>
            </w:pPr>
            <w:r>
              <w:t>315.55</w:t>
            </w:r>
          </w:p>
        </w:tc>
        <w:tc>
          <w:tcPr>
            <w:tcW w:w="1474" w:type="dxa"/>
            <w:vAlign w:val="center"/>
          </w:tcPr>
          <w:p>
            <w:pPr>
              <w:pStyle w:val="11"/>
            </w:pPr>
            <w:r>
              <w:t>315.55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27.60</w:t>
            </w:r>
          </w:p>
        </w:tc>
        <w:tc>
          <w:tcPr>
            <w:tcW w:w="1474" w:type="dxa"/>
            <w:vAlign w:val="center"/>
          </w:tcPr>
          <w:p>
            <w:pPr>
              <w:pStyle w:val="11"/>
            </w:pPr>
            <w:r>
              <w:t>27.60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8.60</w:t>
            </w:r>
          </w:p>
        </w:tc>
        <w:tc>
          <w:tcPr>
            <w:tcW w:w="1474" w:type="dxa"/>
            <w:vAlign w:val="center"/>
          </w:tcPr>
          <w:p>
            <w:pPr>
              <w:pStyle w:val="11"/>
            </w:pPr>
            <w:r>
              <w:t>8.60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13.00</w:t>
            </w:r>
          </w:p>
        </w:tc>
        <w:tc>
          <w:tcPr>
            <w:tcW w:w="1474" w:type="dxa"/>
            <w:vAlign w:val="center"/>
          </w:tcPr>
          <w:p>
            <w:pPr>
              <w:pStyle w:val="11"/>
            </w:pPr>
            <w:r>
              <w:t>13.00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364.76</w:t>
            </w:r>
          </w:p>
        </w:tc>
        <w:tc>
          <w:tcPr>
            <w:tcW w:w="3402" w:type="dxa"/>
            <w:vAlign w:val="center"/>
          </w:tcPr>
          <w:p>
            <w:pPr>
              <w:pStyle w:val="14"/>
            </w:pPr>
            <w:r>
              <w:t>本年支出合计</w:t>
            </w:r>
          </w:p>
        </w:tc>
        <w:tc>
          <w:tcPr>
            <w:tcW w:w="1474" w:type="dxa"/>
            <w:vAlign w:val="center"/>
          </w:tcPr>
          <w:p>
            <w:pPr>
              <w:pStyle w:val="15"/>
            </w:pPr>
            <w:r>
              <w:t>364.76</w:t>
            </w:r>
          </w:p>
        </w:tc>
        <w:tc>
          <w:tcPr>
            <w:tcW w:w="1474" w:type="dxa"/>
            <w:vAlign w:val="center"/>
          </w:tcPr>
          <w:p>
            <w:pPr>
              <w:pStyle w:val="15"/>
            </w:pPr>
            <w:r>
              <w:t>364.76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364.76</w:t>
            </w:r>
          </w:p>
        </w:tc>
        <w:tc>
          <w:tcPr>
            <w:tcW w:w="3402" w:type="dxa"/>
            <w:vAlign w:val="center"/>
          </w:tcPr>
          <w:p>
            <w:pPr>
              <w:pStyle w:val="14"/>
            </w:pPr>
            <w:r>
              <w:t>支出总计</w:t>
            </w:r>
          </w:p>
        </w:tc>
        <w:tc>
          <w:tcPr>
            <w:tcW w:w="1474" w:type="dxa"/>
            <w:vAlign w:val="center"/>
          </w:tcPr>
          <w:p>
            <w:pPr>
              <w:pStyle w:val="15"/>
            </w:pPr>
            <w:r>
              <w:t>364.76</w:t>
            </w:r>
          </w:p>
        </w:tc>
        <w:tc>
          <w:tcPr>
            <w:tcW w:w="1474" w:type="dxa"/>
            <w:vAlign w:val="center"/>
          </w:tcPr>
          <w:p>
            <w:pPr>
              <w:pStyle w:val="15"/>
            </w:pPr>
            <w:r>
              <w:t>364.76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364.76</w:t>
            </w:r>
          </w:p>
        </w:tc>
        <w:tc>
          <w:tcPr>
            <w:tcW w:w="2551" w:type="dxa"/>
            <w:vAlign w:val="center"/>
          </w:tcPr>
          <w:p>
            <w:pPr>
              <w:pStyle w:val="15"/>
            </w:pPr>
            <w:r>
              <w:t>195.76</w:t>
            </w:r>
          </w:p>
        </w:tc>
        <w:tc>
          <w:tcPr>
            <w:tcW w:w="2551" w:type="dxa"/>
            <w:vAlign w:val="center"/>
          </w:tcPr>
          <w:p>
            <w:pPr>
              <w:pStyle w:val="15"/>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315.55</w:t>
            </w:r>
          </w:p>
        </w:tc>
        <w:tc>
          <w:tcPr>
            <w:tcW w:w="2551" w:type="dxa"/>
            <w:vAlign w:val="center"/>
          </w:tcPr>
          <w:p>
            <w:pPr>
              <w:pStyle w:val="11"/>
            </w:pPr>
            <w:r>
              <w:t>146.55</w:t>
            </w: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315.55</w:t>
            </w:r>
          </w:p>
        </w:tc>
        <w:tc>
          <w:tcPr>
            <w:tcW w:w="2551" w:type="dxa"/>
            <w:vAlign w:val="center"/>
          </w:tcPr>
          <w:p>
            <w:pPr>
              <w:pStyle w:val="11"/>
            </w:pPr>
            <w:r>
              <w:t>146.55</w:t>
            </w: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146.55</w:t>
            </w:r>
          </w:p>
        </w:tc>
        <w:tc>
          <w:tcPr>
            <w:tcW w:w="2551" w:type="dxa"/>
            <w:vAlign w:val="center"/>
          </w:tcPr>
          <w:p>
            <w:pPr>
              <w:pStyle w:val="11"/>
            </w:pPr>
            <w:r>
              <w:t>146.55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2014099</w:t>
            </w:r>
          </w:p>
        </w:tc>
        <w:tc>
          <w:tcPr>
            <w:tcW w:w="4535" w:type="dxa"/>
            <w:vAlign w:val="center"/>
          </w:tcPr>
          <w:p>
            <w:pPr>
              <w:pStyle w:val="12"/>
            </w:pPr>
            <w:r>
              <w:t>其他信访事务支出</w:t>
            </w:r>
          </w:p>
        </w:tc>
        <w:tc>
          <w:tcPr>
            <w:tcW w:w="2551" w:type="dxa"/>
            <w:vAlign w:val="center"/>
          </w:tcPr>
          <w:p>
            <w:pPr>
              <w:pStyle w:val="11"/>
            </w:pPr>
            <w:r>
              <w:t>169.00</w:t>
            </w:r>
          </w:p>
        </w:tc>
        <w:tc>
          <w:tcPr>
            <w:tcW w:w="2551" w:type="dxa"/>
            <w:vAlign w:val="center"/>
          </w:tcPr>
          <w:p>
            <w:pPr>
              <w:pStyle w:val="11"/>
            </w:pP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27.60</w:t>
            </w:r>
          </w:p>
        </w:tc>
        <w:tc>
          <w:tcPr>
            <w:tcW w:w="2551" w:type="dxa"/>
            <w:vAlign w:val="center"/>
          </w:tcPr>
          <w:p>
            <w:pPr>
              <w:pStyle w:val="11"/>
            </w:pPr>
            <w:r>
              <w:t>27.60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26.61</w:t>
            </w:r>
          </w:p>
        </w:tc>
        <w:tc>
          <w:tcPr>
            <w:tcW w:w="2551" w:type="dxa"/>
            <w:vAlign w:val="center"/>
          </w:tcPr>
          <w:p>
            <w:pPr>
              <w:pStyle w:val="11"/>
            </w:pPr>
            <w:r>
              <w:t>26.61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10.01</w:t>
            </w:r>
          </w:p>
        </w:tc>
        <w:tc>
          <w:tcPr>
            <w:tcW w:w="2551" w:type="dxa"/>
            <w:vAlign w:val="center"/>
          </w:tcPr>
          <w:p>
            <w:pPr>
              <w:pStyle w:val="11"/>
            </w:pPr>
            <w:r>
              <w:t>10.01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0.99</w:t>
            </w:r>
          </w:p>
        </w:tc>
        <w:tc>
          <w:tcPr>
            <w:tcW w:w="2551" w:type="dxa"/>
            <w:vAlign w:val="center"/>
          </w:tcPr>
          <w:p>
            <w:pPr>
              <w:pStyle w:val="11"/>
            </w:pPr>
            <w:r>
              <w:t>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0.37</w:t>
            </w:r>
          </w:p>
        </w:tc>
        <w:tc>
          <w:tcPr>
            <w:tcW w:w="2551" w:type="dxa"/>
            <w:vAlign w:val="center"/>
          </w:tcPr>
          <w:p>
            <w:pPr>
              <w:pStyle w:val="11"/>
            </w:pPr>
            <w:r>
              <w:t>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8.60</w:t>
            </w:r>
          </w:p>
        </w:tc>
        <w:tc>
          <w:tcPr>
            <w:tcW w:w="2551" w:type="dxa"/>
            <w:vAlign w:val="center"/>
          </w:tcPr>
          <w:p>
            <w:pPr>
              <w:pStyle w:val="11"/>
            </w:pPr>
            <w:r>
              <w:t>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8.60</w:t>
            </w:r>
          </w:p>
        </w:tc>
        <w:tc>
          <w:tcPr>
            <w:tcW w:w="2551" w:type="dxa"/>
            <w:vAlign w:val="center"/>
          </w:tcPr>
          <w:p>
            <w:pPr>
              <w:pStyle w:val="11"/>
            </w:pPr>
            <w:r>
              <w:t>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7.60</w:t>
            </w:r>
          </w:p>
        </w:tc>
        <w:tc>
          <w:tcPr>
            <w:tcW w:w="2551" w:type="dxa"/>
            <w:vAlign w:val="center"/>
          </w:tcPr>
          <w:p>
            <w:pPr>
              <w:pStyle w:val="11"/>
            </w:pPr>
            <w:r>
              <w:t>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195.76</w:t>
            </w:r>
          </w:p>
        </w:tc>
        <w:tc>
          <w:tcPr>
            <w:tcW w:w="2551" w:type="dxa"/>
            <w:vAlign w:val="center"/>
          </w:tcPr>
          <w:p>
            <w:pPr>
              <w:pStyle w:val="15"/>
            </w:pPr>
            <w:r>
              <w:t>165.64</w:t>
            </w:r>
          </w:p>
        </w:tc>
        <w:tc>
          <w:tcPr>
            <w:tcW w:w="2551" w:type="dxa"/>
            <w:vAlign w:val="center"/>
          </w:tcPr>
          <w:p>
            <w:pPr>
              <w:pStyle w:val="15"/>
            </w:pPr>
            <w:r>
              <w:t>30.12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155.75</w:t>
            </w:r>
          </w:p>
        </w:tc>
        <w:tc>
          <w:tcPr>
            <w:tcW w:w="2551" w:type="dxa"/>
            <w:vAlign w:val="center"/>
          </w:tcPr>
          <w:p>
            <w:pPr>
              <w:pStyle w:val="11"/>
            </w:pPr>
            <w:r>
              <w:t>155.75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50.15</w:t>
            </w:r>
          </w:p>
        </w:tc>
        <w:tc>
          <w:tcPr>
            <w:tcW w:w="2551" w:type="dxa"/>
            <w:vAlign w:val="center"/>
          </w:tcPr>
          <w:p>
            <w:pPr>
              <w:pStyle w:val="11"/>
            </w:pPr>
            <w:r>
              <w:t>50.15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25.63</w:t>
            </w:r>
          </w:p>
        </w:tc>
        <w:tc>
          <w:tcPr>
            <w:tcW w:w="2551" w:type="dxa"/>
            <w:vAlign w:val="center"/>
          </w:tcPr>
          <w:p>
            <w:pPr>
              <w:pStyle w:val="11"/>
            </w:pPr>
            <w:r>
              <w:t>25.63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10.69</w:t>
            </w:r>
          </w:p>
        </w:tc>
        <w:tc>
          <w:tcPr>
            <w:tcW w:w="2551" w:type="dxa"/>
            <w:vAlign w:val="center"/>
          </w:tcPr>
          <w:p>
            <w:pPr>
              <w:pStyle w:val="11"/>
            </w:pPr>
            <w:r>
              <w:t>10.69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30.09</w:t>
            </w:r>
          </w:p>
        </w:tc>
        <w:tc>
          <w:tcPr>
            <w:tcW w:w="2551" w:type="dxa"/>
            <w:vAlign w:val="center"/>
          </w:tcPr>
          <w:p>
            <w:pPr>
              <w:pStyle w:val="11"/>
            </w:pPr>
            <w:r>
              <w:t>30.09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7.60</w:t>
            </w:r>
          </w:p>
        </w:tc>
        <w:tc>
          <w:tcPr>
            <w:tcW w:w="2551" w:type="dxa"/>
            <w:vAlign w:val="center"/>
          </w:tcPr>
          <w:p>
            <w:pPr>
              <w:pStyle w:val="11"/>
            </w:pPr>
            <w:r>
              <w:t>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0.99</w:t>
            </w:r>
          </w:p>
        </w:tc>
        <w:tc>
          <w:tcPr>
            <w:tcW w:w="2551" w:type="dxa"/>
            <w:vAlign w:val="center"/>
          </w:tcPr>
          <w:p>
            <w:pPr>
              <w:pStyle w:val="11"/>
            </w:pPr>
            <w:r>
              <w:t>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30.12</w:t>
            </w:r>
          </w:p>
        </w:tc>
        <w:tc>
          <w:tcPr>
            <w:tcW w:w="2551" w:type="dxa"/>
            <w:vAlign w:val="center"/>
          </w:tcPr>
          <w:p>
            <w:pPr>
              <w:pStyle w:val="11"/>
            </w:pPr>
          </w:p>
        </w:tc>
        <w:tc>
          <w:tcPr>
            <w:tcW w:w="2551" w:type="dxa"/>
            <w:vAlign w:val="center"/>
          </w:tcPr>
          <w:p>
            <w:pPr>
              <w:pStyle w:val="11"/>
            </w:pPr>
            <w:r>
              <w:t>30.12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6.50</w:t>
            </w:r>
          </w:p>
        </w:tc>
        <w:tc>
          <w:tcPr>
            <w:tcW w:w="2551" w:type="dxa"/>
            <w:vAlign w:val="center"/>
          </w:tcPr>
          <w:p>
            <w:pPr>
              <w:pStyle w:val="11"/>
            </w:pPr>
          </w:p>
        </w:tc>
        <w:tc>
          <w:tcPr>
            <w:tcW w:w="2551" w:type="dxa"/>
            <w:vAlign w:val="center"/>
          </w:tcPr>
          <w:p>
            <w:pPr>
              <w:pStyle w:val="11"/>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2.34</w:t>
            </w:r>
          </w:p>
        </w:tc>
        <w:tc>
          <w:tcPr>
            <w:tcW w:w="2551" w:type="dxa"/>
            <w:vAlign w:val="center"/>
          </w:tcPr>
          <w:p>
            <w:pPr>
              <w:pStyle w:val="11"/>
            </w:pPr>
          </w:p>
        </w:tc>
        <w:tc>
          <w:tcPr>
            <w:tcW w:w="2551" w:type="dxa"/>
            <w:vAlign w:val="center"/>
          </w:tcPr>
          <w:p>
            <w:pPr>
              <w:pStyle w:val="11"/>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7.21</w:t>
            </w:r>
          </w:p>
        </w:tc>
        <w:tc>
          <w:tcPr>
            <w:tcW w:w="2551" w:type="dxa"/>
            <w:vAlign w:val="center"/>
          </w:tcPr>
          <w:p>
            <w:pPr>
              <w:pStyle w:val="11"/>
            </w:pPr>
          </w:p>
        </w:tc>
        <w:tc>
          <w:tcPr>
            <w:tcW w:w="2551" w:type="dxa"/>
            <w:vAlign w:val="center"/>
          </w:tcPr>
          <w:p>
            <w:pPr>
              <w:pStyle w:val="11"/>
            </w:pPr>
            <w:r>
              <w:t>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3.45</w:t>
            </w:r>
          </w:p>
        </w:tc>
        <w:tc>
          <w:tcPr>
            <w:tcW w:w="2551" w:type="dxa"/>
            <w:vAlign w:val="center"/>
          </w:tcPr>
          <w:p>
            <w:pPr>
              <w:pStyle w:val="11"/>
            </w:pPr>
          </w:p>
        </w:tc>
        <w:tc>
          <w:tcPr>
            <w:tcW w:w="2551" w:type="dxa"/>
            <w:vAlign w:val="center"/>
          </w:tcPr>
          <w:p>
            <w:pPr>
              <w:pStyle w:val="11"/>
            </w:pPr>
            <w:r>
              <w:t>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9.89</w:t>
            </w:r>
          </w:p>
        </w:tc>
        <w:tc>
          <w:tcPr>
            <w:tcW w:w="2551" w:type="dxa"/>
            <w:vAlign w:val="center"/>
          </w:tcPr>
          <w:p>
            <w:pPr>
              <w:pStyle w:val="11"/>
            </w:pPr>
            <w:r>
              <w:t>9.89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437001承德市双滦区信访局本级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2.28</w:t>
            </w:r>
          </w:p>
        </w:tc>
        <w:tc>
          <w:tcPr>
            <w:tcW w:w="2381" w:type="dxa"/>
            <w:vAlign w:val="center"/>
          </w:tcPr>
          <w:p>
            <w:pPr>
              <w:pStyle w:val="15"/>
            </w:pPr>
            <w:r>
              <w:t>2.28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2.28</w:t>
            </w:r>
          </w:p>
        </w:tc>
        <w:tc>
          <w:tcPr>
            <w:tcW w:w="2381" w:type="dxa"/>
            <w:vAlign w:val="center"/>
          </w:tcPr>
          <w:p>
            <w:pPr>
              <w:pStyle w:val="11"/>
            </w:pPr>
            <w:r>
              <w:t>2.28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0.28</w:t>
            </w:r>
          </w:p>
        </w:tc>
        <w:tc>
          <w:tcPr>
            <w:tcW w:w="2381" w:type="dxa"/>
            <w:vAlign w:val="center"/>
          </w:tcPr>
          <w:p>
            <w:pPr>
              <w:pStyle w:val="11"/>
            </w:pPr>
            <w:r>
              <w:t>0.28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承德市双滦区信访局本级2025年单位预算信息公开情况说明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按照《中华人民共和国预算法》、《地方预决算公开操作规程》和《关于进一步推进预算公开工作的实施意见》规定，现将承德市双滦区信访局本级2025年单位预算公开如下：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（一）研究提出全区信访工作思路，拟定信访工作方针政策和规范性文件。</w:t>
      </w:r>
    </w:p>
    <w:p>
      <w:pPr>
        <w:pStyle w:val="17"/>
      </w:pPr>
      <w:r>
        <w:t>（二）办理人民群众来信、来电，接待群众来访，受理群众网上投诉，查办信访案件，承办区委书记、区长电子信箱日常工作，负责人民群众建议征集工作。</w:t>
      </w:r>
    </w:p>
    <w:p>
      <w:pPr>
        <w:pStyle w:val="17"/>
      </w:pPr>
      <w:r>
        <w:t>（三）调查研究和综合分析全区信访形势及信访工作状况，总结推广各镇、街道、部门信访工作经验，提出改进和加强信访工作的意见和建议。</w:t>
      </w:r>
    </w:p>
    <w:p>
      <w:pPr>
        <w:pStyle w:val="17"/>
      </w:pPr>
      <w:r>
        <w:t>（四）参与组织、协调、指导全区社会治安综合治理和维护社会政治稳定工作，协助保障国家和省、市、区重大政治活动顺利进行，参与处理影响社会政治稳定的突发性、群体性事件。</w:t>
      </w:r>
    </w:p>
    <w:p>
      <w:pPr>
        <w:pStyle w:val="17"/>
      </w:pPr>
      <w:r>
        <w:t>（五）督促检查和指导镇党委、政府，街道党工委、办事处和区直部门的信访工作。对镇党委、政府，街道党工委、办事处和区直有关部门信访工作年度责任目标进行考核，对全区社会治安综合治理和维护社会政治稳定年度责任目标中有关信访工作进行考核。</w:t>
      </w:r>
    </w:p>
    <w:p>
      <w:pPr>
        <w:pStyle w:val="17"/>
      </w:pPr>
      <w:r>
        <w:t>（六）协助国家、省、市信访局处理双滦区群众进京、赴省、到市上访工作，综合协调处理跨地区、跨部门、跨行业的重要信访问题，协助公安机关维护区委、区政府机关正常工作秩序。</w:t>
      </w:r>
    </w:p>
    <w:p>
      <w:pPr>
        <w:pStyle w:val="17"/>
      </w:pPr>
      <w:r>
        <w:t>（七）负责区级领导公开接访和包联案件的组织协调工作。</w:t>
      </w:r>
    </w:p>
    <w:p>
      <w:pPr>
        <w:pStyle w:val="17"/>
      </w:pPr>
      <w:r>
        <w:t>（八）承担双滦区信访工作联席会议的日常工作，督促落实联席会议决定的事项。</w:t>
      </w:r>
    </w:p>
    <w:p>
      <w:pPr>
        <w:pStyle w:val="17"/>
      </w:pPr>
      <w:r>
        <w:t>（九）协调处理群众进京上访工作；配合公安机关做好到非接待场所有关人员的劝返工作。</w:t>
      </w:r>
    </w:p>
    <w:p>
      <w:pPr>
        <w:pStyle w:val="17"/>
      </w:pPr>
      <w:r>
        <w:t>（十）承办区委、区政府以及国家、省、市信访局交办的其他任务。</w:t>
      </w:r>
    </w:p>
    <w:p>
      <w:pPr>
        <w:pStyle w:val="17"/>
      </w:pPr>
      <w:r>
        <w:t>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承德市双滦区信访局本级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364.76万元，其中：一般公共预算收入364.76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承德市双滦区信访局本级年度单位预算中支出预算的总体情况。2025年支出预算364.76万元，其中基本支出195.76万元，包括人员经费165.64万元和日常公用经费30.12万元；项目支出169.00万元，主要为信访局专项业务费</w:t>
      </w:r>
    </w:p>
    <w:p>
      <w:pPr>
        <w:pStyle w:val="18"/>
      </w:pPr>
      <w:r>
        <w:t>3、比上年增减情况</w:t>
      </w:r>
    </w:p>
    <w:p>
      <w:pPr>
        <w:pStyle w:val="18"/>
      </w:pPr>
      <w:r>
        <w:t>2025年预算收支安排364.76万元，较2024年预算减少188.39万元，其中：基本支出增加11.61万元，主要为2025年在职人员工资晋升、各项保险调基补缴等经费增加。项目支出减少200.00万元，主要为2024年有一站式矛盾纠纷多元化解平台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2025年，我单位机关运行经费共计安排30.12万元，主要用于日常维修、办公用房水电费、办公用房取暖费、办公用房物业管理费等日常运行支出。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万元，其中因公出国（境）费0万元；公务用车购置及运维费0万元（其中：公务用车购置费为0万元，公务用车运维费0万元)；公务接待费0万元。与2024年相比增加0万元，增减变化的主要原因是与2024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1、信访局专项业务费绩效目标表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13080325P000163100335</w:t>
            </w:r>
          </w:p>
        </w:tc>
        <w:tc>
          <w:tcPr>
            <w:tcW w:w="2835" w:type="dxa"/>
            <w:vAlign w:val="center"/>
          </w:tcPr>
          <w:p>
            <w:pPr>
              <w:pStyle w:val="10"/>
            </w:pPr>
            <w:r>
              <w:t>项目名称</w:t>
            </w:r>
          </w:p>
        </w:tc>
        <w:tc>
          <w:tcPr>
            <w:tcW w:w="6095" w:type="dxa"/>
            <w:gridSpan w:val="3"/>
            <w:vAlign w:val="center"/>
          </w:tcPr>
          <w:p>
            <w:pPr>
              <w:pStyle w:val="12"/>
            </w:pPr>
            <w:r>
              <w:t>信访局专项业务费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169.00</w:t>
            </w:r>
          </w:p>
        </w:tc>
        <w:tc>
          <w:tcPr>
            <w:tcW w:w="2835" w:type="dxa"/>
            <w:vAlign w:val="center"/>
          </w:tcPr>
          <w:p>
            <w:pPr>
              <w:pStyle w:val="10"/>
            </w:pPr>
            <w:r>
              <w:t>其中：财政    资金</w:t>
            </w:r>
          </w:p>
        </w:tc>
        <w:tc>
          <w:tcPr>
            <w:tcW w:w="2551" w:type="dxa"/>
            <w:vAlign w:val="center"/>
          </w:tcPr>
          <w:p>
            <w:pPr>
              <w:pStyle w:val="12"/>
            </w:pPr>
            <w:r>
              <w:t>169.00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提高信访问题办理质量和效率，力争把信访问题解决在当地，维护全区和谐稳定。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1.提高信访问题办理质量和效率，力争把信访问题解决在当地，维护全区和谐稳定，以双滦之稳促承德市之稳，发挥守卫北京政治护城河作用，为全区经济社会发展营造和谐稳定的社会环境。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领导包联化解案件数</w:t>
            </w:r>
          </w:p>
        </w:tc>
        <w:tc>
          <w:tcPr>
            <w:tcW w:w="5386" w:type="dxa"/>
            <w:vAlign w:val="center"/>
          </w:tcPr>
          <w:p>
            <w:pPr>
              <w:pStyle w:val="12"/>
            </w:pPr>
            <w:r>
              <w:t>省、市、区领导包联化解案件总数</w:t>
            </w:r>
          </w:p>
        </w:tc>
        <w:tc>
          <w:tcPr>
            <w:tcW w:w="2268" w:type="dxa"/>
            <w:vAlign w:val="center"/>
          </w:tcPr>
          <w:p>
            <w:pPr>
              <w:pStyle w:val="12"/>
            </w:pPr>
            <w:r>
              <w:t>≥25件</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阳光信访平台上按期答复率</w:t>
            </w:r>
          </w:p>
        </w:tc>
        <w:tc>
          <w:tcPr>
            <w:tcW w:w="5386" w:type="dxa"/>
            <w:vAlign w:val="center"/>
          </w:tcPr>
          <w:p>
            <w:pPr>
              <w:pStyle w:val="12"/>
            </w:pPr>
            <w:r>
              <w:t>阳光信访平台上已答复案件数/应答复案件数</w:t>
            </w:r>
          </w:p>
        </w:tc>
        <w:tc>
          <w:tcPr>
            <w:tcW w:w="2268" w:type="dxa"/>
            <w:vAlign w:val="center"/>
          </w:tcPr>
          <w:p>
            <w:pPr>
              <w:pStyle w:val="12"/>
            </w:pPr>
            <w:r>
              <w:t>≥95%</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阳光信访平台上及时受理案件</w:t>
            </w:r>
          </w:p>
        </w:tc>
        <w:tc>
          <w:tcPr>
            <w:tcW w:w="5386" w:type="dxa"/>
            <w:vAlign w:val="center"/>
          </w:tcPr>
          <w:p>
            <w:pPr>
              <w:pStyle w:val="12"/>
            </w:pPr>
            <w:r>
              <w:t>阳光信访平台上案件及时受理</w:t>
            </w:r>
          </w:p>
        </w:tc>
        <w:tc>
          <w:tcPr>
            <w:tcW w:w="2268" w:type="dxa"/>
            <w:vAlign w:val="center"/>
          </w:tcPr>
          <w:p>
            <w:pPr>
              <w:pStyle w:val="12"/>
            </w:pPr>
            <w:r>
              <w:t>12月31日前完成（每个案件受理时间不超过15天）</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支出总成本</w:t>
            </w:r>
          </w:p>
        </w:tc>
        <w:tc>
          <w:tcPr>
            <w:tcW w:w="5386" w:type="dxa"/>
            <w:vAlign w:val="center"/>
          </w:tcPr>
          <w:p>
            <w:pPr>
              <w:pStyle w:val="12"/>
            </w:pPr>
            <w:r>
              <w:t>支出总成本不超过预算数</w:t>
            </w:r>
          </w:p>
        </w:tc>
        <w:tc>
          <w:tcPr>
            <w:tcW w:w="2268" w:type="dxa"/>
            <w:vAlign w:val="center"/>
          </w:tcPr>
          <w:p>
            <w:pPr>
              <w:pStyle w:val="12"/>
            </w:pPr>
            <w:r>
              <w:t>≤169万元</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降低社会不稳定因素</w:t>
            </w:r>
          </w:p>
        </w:tc>
        <w:tc>
          <w:tcPr>
            <w:tcW w:w="5386" w:type="dxa"/>
            <w:vAlign w:val="center"/>
          </w:tcPr>
          <w:p>
            <w:pPr>
              <w:pStyle w:val="12"/>
            </w:pPr>
            <w:r>
              <w:t>降低社会不稳定因素</w:t>
            </w:r>
          </w:p>
        </w:tc>
        <w:tc>
          <w:tcPr>
            <w:tcW w:w="2268" w:type="dxa"/>
            <w:vAlign w:val="center"/>
          </w:tcPr>
          <w:p>
            <w:pPr>
              <w:pStyle w:val="12"/>
            </w:pPr>
            <w:r>
              <w:t>有效改善</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引导群众依法理性维权</w:t>
            </w:r>
          </w:p>
        </w:tc>
        <w:tc>
          <w:tcPr>
            <w:tcW w:w="5386" w:type="dxa"/>
            <w:vAlign w:val="center"/>
          </w:tcPr>
          <w:p>
            <w:pPr>
              <w:pStyle w:val="12"/>
            </w:pPr>
            <w:r>
              <w:t>引导群众依法有序信访，理性维权</w:t>
            </w:r>
          </w:p>
        </w:tc>
        <w:tc>
          <w:tcPr>
            <w:tcW w:w="2268" w:type="dxa"/>
            <w:vAlign w:val="center"/>
          </w:tcPr>
          <w:p>
            <w:pPr>
              <w:pStyle w:val="12"/>
            </w:pPr>
            <w:r>
              <w:t>有效营造</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长期促进社会和谐</w:t>
            </w:r>
          </w:p>
        </w:tc>
        <w:tc>
          <w:tcPr>
            <w:tcW w:w="5386" w:type="dxa"/>
            <w:vAlign w:val="center"/>
          </w:tcPr>
          <w:p>
            <w:pPr>
              <w:pStyle w:val="12"/>
            </w:pPr>
            <w:r>
              <w:t>通过开展信访维稳工作，进一步扩大影响，长期促进社会和谐</w:t>
            </w:r>
          </w:p>
        </w:tc>
        <w:tc>
          <w:tcPr>
            <w:tcW w:w="2268" w:type="dxa"/>
            <w:vAlign w:val="center"/>
          </w:tcPr>
          <w:p>
            <w:pPr>
              <w:pStyle w:val="12"/>
            </w:pPr>
            <w:r>
              <w:t>长期促进</w:t>
            </w:r>
          </w:p>
        </w:tc>
        <w:tc>
          <w:tcPr>
            <w:tcW w:w="1276" w:type="dxa"/>
            <w:vAlign w:val="center"/>
          </w:tcPr>
          <w:p>
            <w:pPr>
              <w:pStyle w:val="12"/>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信访群众合理诉求得到妥善解决</w:t>
            </w:r>
          </w:p>
        </w:tc>
        <w:tc>
          <w:tcPr>
            <w:tcW w:w="5386" w:type="dxa"/>
            <w:vAlign w:val="center"/>
          </w:tcPr>
          <w:p>
            <w:pPr>
              <w:pStyle w:val="12"/>
            </w:pPr>
            <w:r>
              <w:t>信访群众合理诉求得到妥善解决</w:t>
            </w:r>
          </w:p>
        </w:tc>
        <w:tc>
          <w:tcPr>
            <w:tcW w:w="2268" w:type="dxa"/>
            <w:vAlign w:val="center"/>
          </w:tcPr>
          <w:p>
            <w:pPr>
              <w:pStyle w:val="12"/>
            </w:pPr>
            <w:r>
              <w:t>≥70%</w:t>
            </w:r>
          </w:p>
        </w:tc>
        <w:tc>
          <w:tcPr>
            <w:tcW w:w="1276" w:type="dxa"/>
            <w:vAlign w:val="center"/>
          </w:tcPr>
          <w:p>
            <w:pPr>
              <w:pStyle w:val="12"/>
            </w:pPr>
            <w:r>
              <w:t>根据本部门职责</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437001承德市双滦区信访局本级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承德市双滦区信访局本级上年末固定资产金额为340.78万元（详见下表）。本年度拟购置固定资产总额为0.00万元，已按要求列入政府采购预算，详见政府采购预算表。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437001承德市双滦区信访局本级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540</w:t>
            </w:r>
          </w:p>
        </w:tc>
        <w:tc>
          <w:tcPr>
            <w:tcW w:w="2835" w:type="dxa"/>
            <w:vAlign w:val="center"/>
          </w:tcPr>
          <w:p>
            <w:pPr>
              <w:pStyle w:val="11"/>
            </w:pPr>
            <w:r>
              <w:t>131.46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D1798"/>
    <w:rsid w:val="2E7D38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1</TotalTime>
  <ScaleCrop>false</ScaleCrop>
  <LinksUpToDate>false</LinksUpToDate>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2025-03-14T15:42:00Z</dcterms:created>
  <dc:creator>Administrator</dc:creator>
  <cp:lastModifiedBy>Administrator</cp:lastModifiedBy>
  <dcterms:modified xsi:type="dcterms:W3CDTF">2025-03-14T07:46:36Z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627573E3878746D9B91E88D7E4440D2D</vt:lpwstr>
  </property>
</Properties>
</file>